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IV.2022.00285 vom 7. September 2022</w:t>
      </w:r>
    </w:p>
    <w:p>
      <w:r>
        <w:t>ZH Sozialversicherungsgericht, 2022-09-07, DE</w:t>
      </w:r>
    </w:p>
    <w:p>
      <w:r>
        <w:rPr>
          <w:b/>
        </w:rPr>
        <w:t xml:space="preserve">Quelle: </w:t>
      </w:r>
      <w:r>
        <w:t>https://mcp.opencaselaw.ch/entscheid/zh_sozialversicherungsgericht_IV.2022.00285</w:t>
      </w:r>
    </w:p>
    <w:p>
      <w:r>
        <w:t>FR: ZH_SOZIALVERSICHERUNGSGERICHT IV.2022.00285 du 7 septembre 2022</w:t>
      </w:r>
    </w:p>
    <w:p>
      <w:r>
        <w:t>IT: ZH_SOZIALVERSICHERUNGSGERICHT IV.2022.00285 del 7 settembre 2022</w:t>
      </w:r>
    </w:p>
    <w:p>
      <w:pPr>
        <w:pStyle w:val="Heading2"/>
      </w:pPr>
      <w:r>
        <w:t>Erwägungen</w:t>
      </w:r>
    </w:p>
    <w:p>
      <w:r>
        <w:rPr>
          <w:b/>
        </w:rPr>
        <w:t>E. 1</w:t>
      </w:r>
    </w:p>
    <w:p>
      <w:r>
        <w:t>1. Juni 2019 bis 3 0. April 2027 ( Urk. 7/8). Mit Schreiben gleichen Datums teilte die IV-Stelle ausserdem mit, die Kosten für Ergotherapie einmal pro Woche nach ärztlicher Verordnung im Zusammenhang mit dem Geburtsgebrechen zu übernehmen (U rk. 7/9).</w:t>
      </w:r>
    </w:p>
    <w:p>
      <w:r>
        <w:rPr>
          <w:b/>
        </w:rPr>
        <w:t>E. 1.1</w:t>
      </w:r>
    </w:p>
    <w:p>
      <w:r>
        <w:t>X.___ , geboren 2013, wurde am 2 6. Juni 2019 von seine r Mutter unter Hinweis auf die Diagnose POS gemäss Ziffer 404 des Anhangs der Verordnung über Geburtsgebrechen ( GgV , in der bis 3 1. Dezember 2021 in Kraft gewesenen Fassung) bei der Invalidenversicherung zum Bezug medizinischer Massnahmen, namentlich Ergotherapie, angemeldet ( Urk. 7/1). Die Sozialversicherungsanstalt des Kantons Zürich, IV-Stelle, holte einen Berich t der behandelnden Ärztin Dr. med. A.___ , Fachärztin für Kinder- und Jugendmedizin ( Urk. 7/5/5-6), sowie eine Stellungnahme des Regionalen Ärztlichen Dienstes (RAD; Urk. 7/6) ein. Mit Mitteilung vom 2 1. Oktober 2019 erteilte sie Kostengutsprache für medizini sche Massnahmen zur Behandlung des Geburtsgebrechens Ziffer 404 vom</w:t>
      </w:r>
    </w:p>
    <w:p>
      <w:r>
        <w:rPr>
          <w:b/>
        </w:rPr>
        <w:t>E. 1.2</w:t>
      </w:r>
    </w:p>
    <w:p>
      <w:r>
        <w:t>Mit Schreiben vom 1. Oktober 2021 ersuchte Dr. A.___ um Kostengutsprache für vom Versicherten benötigte Nachtwindeln ( Urk. 7/10). Nach Eingang medizini scher Unterlagen ( Urk. 7/14, 7/16/3) und einer Stellungnahme des RAD-Arztes Dr. med. B.___ , Facharzt für Kinder- und Jugendmedizin, vom 5. Januar 2022 ( Urk. 7/17/2) nahm die IV-Stelle mit Vorbescheid vom 1 0. Januar 2022 die Abweisung des Leistungsbegehrens in Aussicht ( Urk. 7/18). Nachdem die Mutter des Versicherten sowie ihre Vertretung dagegen Einwand erhoben hatten ( Urk. 7/19, 7/26), gelangte die IV-Stelle erneut an Dr. A.___ ( Urk. 7/28 ). Nach Eingang von deren Rückmeldung vom 1 2. April 2022 ( Urk. 7/29, vgl. auch Urk. 7/33) und nach erneuter Rücksprache mit dem RAD ( Urk. 7/31/3) verfügte die IV-Stelle am 2 9. April 2022 im angekündigten Sinne ( Urk.</w:t>
      </w:r>
    </w:p>
    <w:p>
      <w:r>
        <w:rPr>
          <w:b/>
        </w:rPr>
        <w:t>E. 2</w:t>
      </w:r>
    </w:p>
    <w:p>
      <w:r>
        <w:t>Abs. 1 GgV , Art.</w:t>
      </w:r>
    </w:p>
    <w:p>
      <w:r>
        <w:rPr>
          <w:b/>
        </w:rPr>
        <w:t>E. 3</w:t>
      </w:r>
    </w:p>
    <w:p>
      <w:r>
        <w:t>.5</w:t>
      </w:r>
    </w:p>
    <w:p>
      <w:r>
        <w:t>Dr. B.___ hielt mit Stellungnahme vom 1 2. April 2022 fest, die Antwort von Dr. A.___ sei nicht nachvollziehbar. Zudem mangle es noch immer an einer Stellung nahme zur Prognose. Dem Feststellungsblatt ist überdies zu entnehmen, dass eine Besprechung zwischen der Kundenberatung, dem RAD und der Fach expertin stattgefunden habe. Gemäss den vorliegenden Unterlagen bestehe noch immer kein ursächlicher Zusammenhang zwischen dem Geburtsgebrechen Ziffer 404 und der Harninkontinenz. Laut den neu vorgelegten medizinischen Unter lagen sei das Einnässen auf die immense psychosoziale Belastung des Kindes zurück zuführen ( Urk. 7/31/3).</w:t>
      </w:r>
    </w:p>
    <w:p>
      <w:r>
        <w:rPr>
          <w:b/>
        </w:rPr>
        <w:t>E. 4</w:t>
      </w:r>
    </w:p>
    <w:p>
      <w:r>
        <w:t>.3</w:t>
      </w:r>
    </w:p>
    <w:p>
      <w:r>
        <w:t>Zusammenfassend</w:t>
      </w:r>
    </w:p>
    <w:p>
      <w:r>
        <w:t>sind weitere medizinische Abklärungen unumgänglich, bevor mit dem erforderlichen Beweisgrad der überwiegenden Wahrscheinlichkeit über den Leistungsanspruch des Versicherten entschieden werden kann.</w:t>
      </w:r>
    </w:p>
    <w:p>
      <w:r>
        <w:t>Folglich ist die angefochtene Verfügung vom 2 9. April 2022 ( Urk. 2) aufzuheben und die Sache ist an die Beschwerdegegnerin zurückzuweisen, damit diese nach ergän zender Abklärung im Sinne der obigen Erwägungen eine neue Beurteilung vor nehme und sodann über den Leistungsanspruch des Versicherten neu verfüge.</w:t>
      </w:r>
    </w:p>
    <w:p>
      <w:r>
        <w:t>F estzuhalten bleibt , dass sich die versicherte Person im Rahmen ihrer Mitwirkungs pflicht ärztlichen und fachlichen Untersuchungen, die für die Beur teilung notwendig und zumutbar sind, zu unterziehen hat ( Art. 43 Abs. 3 ATSG). Dabei ist nur, aber immerhin die Verletzung der Auskunf t s- oder Mitwirkungs pflicht massgebend, die nicht auf die Ärztin, sondern auf die leistungs beanspruchende Person zurückgeht. Bei einer zumutbaren Abklärung kann das Nichtbefolgen der Anordnungen der IV-Stelle - nach durchgeführtem Mahn- und Bedenkzeitverfahren</w:t>
      </w:r>
    </w:p>
    <w:p>
      <w:r>
        <w:t>- aufgrund der Akten verfügt oder ein Nicht eintreten auf das Leistungsgesuch beschlossen werden ( Art. 43 Abs. 3 ATSG). Bei einer Verwei gerung der Auskunftspflicht durch die Ärztin müsste die Sachlage mittels sonsti ger Abklärungsmassnahmen angestrebt werden ( K ieser , ATSG-Kommentar, 4 . Aufl. 20 20 , N. 100 zu Art. 43).</w:t>
      </w:r>
    </w:p>
    <w:p>
      <w:r>
        <w:rPr>
          <w:b/>
        </w:rPr>
        <w:t>E. 5</w:t>
      </w:r>
    </w:p>
    <w:p>
      <w:r>
        <w:t>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Das Gesuch um unentgeltliche Prozessführung erweist sich demnach als gegenstandslos. Das Gericht erkennt: 1.</w:t>
      </w:r>
    </w:p>
    <w:p>
      <w:r>
        <w:t>Die Beschwerde wird in dem Sinne gutgeheissen, dass die angefochtene Verfügung der Sozialversicherungsanstalt des Kantons Zürich, IV-Stelle, vom 2 9. April 2022 aufge ho ben und die Sache an diese zurückgewiesen wird, damit sie nach ergänzenden Abklä rungen im Sinne der Erwägungen über den Leistungsanspruch des Beschwer deführers neu verfüge. 2.</w:t>
      </w:r>
    </w:p>
    <w:p>
      <w:r>
        <w:t>Die Gerichtskosten von Fr. 500 .-- werden der Beschwerdegegnerin auferlegt.</w:t>
      </w:r>
    </w:p>
    <w:p>
      <w:r>
        <w:t>Rechnung und Einzahlungsschein werden der Kostenpflichtigen nach Eintritt der Rechtskraft zuge 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