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IV.2022.00282 vom 16. Mai 2025</w:t>
      </w:r>
    </w:p>
    <w:p>
      <w:r>
        <w:t>ZH Sozialversicherungsgericht, 2025-05-16, DE</w:t>
      </w:r>
    </w:p>
    <w:p>
      <w:r>
        <w:rPr>
          <w:b/>
        </w:rPr>
        <w:t xml:space="preserve">Quelle: </w:t>
      </w:r>
      <w:r>
        <w:t>https://mcp.opencaselaw.ch/entscheid/zh_sozialversicherungsgericht_IV.2022.00282</w:t>
      </w:r>
    </w:p>
    <w:p>
      <w:r>
        <w:t>FR: ZH_SOZIALVERSICHERUNGSGERICHT IV.2022.00282 du 16 mai 2025</w:t>
      </w:r>
    </w:p>
    <w:p>
      <w:r>
        <w:t>IT: ZH_SOZIALVERSICHERUNGSGERICHT IV.2022.00282 del 16 maggio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zunächst durchgeführten beruflichen Massnahmen mit Taggeld anspruch könnten allfällige Rentenl eistungen frühestens ab 1. April 2019 ausge richtet werden (vgl. Art. 29 Abs.</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1.5</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w:t>
      </w:r>
    </w:p>
    <w:p>
      <w:r>
        <w:rPr>
          <w:b/>
        </w:rPr>
        <w:t>E. 2</w:t>
      </w:r>
    </w:p>
    <w:p>
      <w:r>
        <w:t>.</w:t>
      </w:r>
    </w:p>
    <w:p>
      <w:r>
        <w:t>Dr. B.___ führte am 17. und 25. September 2024 , am 3. Oktober 2024 und 4. November 2024 fachärztlich-psychiatrische Untersuchungen (inkl. eine test psychologische Untersuchung) von insgesamt 558</w:t>
      </w:r>
    </w:p>
    <w:p>
      <w:r>
        <w:t>Minuten Gesamtdauer durch , veranlasste eine laborchemische Analyse und holte fremdanamnestische Aus künfte bei der behandelnden Psychotherapeutin des Beschwerdeführers ein (Urk. 43 S. 1 und S. 3) . In seinem psychiatrischen Gutachten vom 28. Februar 2025 nannte er die folgenden Diagnosen (Urk. 43 S. 52 ) : - Psychische und Verhaltensstörungen durch Cannabinoide, Restzustand und verzögert auftretende psychotische Störung (ICD-10: F12.7) - Dysthymie (ICD-10: F34.1) bei rezidivierender depressiver Störung, gegenwärtig remittiert (ICD-10: F33.4) - Kombinierte Persönlichkeitsstörung mit narzisstischen und ängstlichen Zügen (ICD-10: F61.0) Dr. B.___</w:t>
      </w:r>
    </w:p>
    <w:p>
      <w:r>
        <w:t>hielt zusammengefasst fest , es sei evident, dass es beim Beschwer deführer bereits in der Kindheit zum Auftreten einer relevanten psychiatrischen Symptomatik gekommen sei. Darunter seien seine emotionalen Instabilitäten, sozialen Unsicherheiten sowie ein Spannungsverhältnis zwischen überhöhten Selbstansprüchen und Vermeidungsverhalten gefallen. Die Ambivalenz zwischen dem überhöhten Selbstbild mit latentem Anspruch auf Besonderheit und einer tiefsitzenden Angst vor Misserfolg und Kritik habe neben anhaltender Frustration und Unzufriedenheit zu einer Beeinträchtigung bei der Sozialisierung und Erar beitung von wirksamen Coping-Strategien geführt. Diese habe den Beschwerde führer im Hinblick auf Substanzkonsum besonders vulnerabel gemacht. Der Cannabiskonsum habe sich über die Jahre hinweg zu einem Faktor entwickelt, der die bestehende Antriebslosigkeit, die kognitiven Defizite sowie die emotiona len Rückzugstendenzen und anderen problematischen Verhaltensweisen weiter verstärkt habe. Auch nach erreichter Cannabis-Abstinenz würden die Beeinträch tigungen persistieren. Der Beschwerdeführer zeige erhebliche Einschränkungen hinsichtlich der Fähigkeit, selbstbestimmt Ziele zu verfolgen, Entscheidungen zu treffen und Aufgaben mit einer langfristigen Perspektive zu planen. Infolge von bisherigen therapeutischen Bemühungen sei es zu einer gewissen Verbesserung der Selbstakzeptanz gekommen, dennoch wei s e der Beschwerdeführer immer noch eine verringerte intrinsische Veränderungsmotivation auf (Urk. 43 S. 52 f.). Zum Begutachtungszeitpunkt liege keine manifeste depressive Episode vor, dies ändere jedoch nichts an der Feststellung, dass die grundlegende Stimmung des Exploranden durch anhaltende Hoffnungslosigkeit, negative Erwartungshaltung und ein persistentes Gefühl der Unzulänglichkeit geprägt sei und durch Phasen massiver depressiver Verschlechterung verstärkt werde. Entscheidend sei, dass diese Phasen nicht als klar voneinander abgegrenzte Episoden aufträten, sondern auf einer konstanten depressiven Grundstimmung aufbauten, die durch situative Belastungen verstärkt werde. Die narzisstischen Züge der Persönlichkeitsstörung äusser t en sich sodann in einem übermässigen Bedürfnis nach Anerkennung bei gleichzeitig stark erhöhter Kränkbarkeit, was zu sozialem Rückzug führe, wenn das erhoffte Mass an Bestätigung ausbleibe. Gleichzeitig bestünden übersteigerte Selbstansprüche, die jedoch nicht mit tatsächlicher Leistungsfähigkeit oder Beharrlichkeit in Einklang stünden. Dies führe zu einem zyklischen Muster aus grossem Erwartungsdruck an sich selbst, rascher Enttäuschung bei ausbleibendem Erfolg und einem anschliessenden Rückzug aus Anforderungen. Ergänzt werde dieses Bild durch ängstlich-vermeidende Persönlichkeitsmerkmale, die sich in einer hohen Sensibilität für Ablehnung, starker Unsicherheit in sozialen Interak tionen und der Tendenz, Herausforderungen aus Angst vor Versagen zu vermei den, manifestierten. Dadurch entstehe eine komplexe ungünstige Wechselwir kung zwischen Selbstüberschätzung und Vermeidung, die sich auf alle relevanten Lebensbereiche auswirke. Dies e Auswirkungen seien erheblich (insbesondere stark verminderte Stresstoleranz, stark verminderte Fähigkeit, aus eigenem Antrieb Ziele zu setzen und zu verfolgen, stark eingeschränkte Selbstregulation, Meidung von Situationen mit hohem Leistungsdruck, ausgeprägte Erschöpfbar keit bereits bei kurz andauernder kognitiver und sozialer Belastung). Infolge von stark ausgeprägten, spätestens sei t der Adoleszenz in diesem Ausmass bestehen den zahlreichen Funktionsbeeinträchtigungen sei festzuhalten, dass eine Arbeits fähigkeit beim Beschwerdeführer objektiv gesehen nie vorgelegen habe. Es bestünden zudem keine realistischen Aussichten auf einen Behandlungserfolg. Die inzwischen etablierte, langfristig ausgerichtete kognitive Verhaltenstherapie sei jedoch unbedingt fortzusetzen, primär zum Zwecke der Aufrechterhaltung der erreichten Stabilisierung auf sehr tiefem Niveau. Eine kurative Perspektive bestehe nicht (Urk. 43 S. 54 -56 ) . Der Gutachter gelangte zum Schluss, die Leistungsfähigkeit des Beschwerdefüh rers sei dauerhaft aufgehoben beziehungsweise dieser sei nicht arbeitsfähig (Urk. 43 S. 82).</w:t>
      </w:r>
    </w:p>
    <w:p>
      <w:r>
        <w:rPr>
          <w:b/>
        </w:rPr>
        <w:t>E. 3</w:t>
      </w:r>
    </w:p>
    <w:p>
      <w:r>
        <w:t>.4</w:t>
      </w:r>
    </w:p>
    <w:p>
      <w:r>
        <w:t>Nach dem Gesagten besteht kein Grund, vom Gerichtsgutachten abzuwei ch en (E. 1.5) . Dies führt zur Gutheissung der Beschwerde sowie</w:t>
      </w:r>
    </w:p>
    <w:p>
      <w:r>
        <w:t>– bei einem Invalidi tätsgrad von 100 % (ein Einkommensvergleich erübrigt sich, da die Arbeitsfähig keit hinsichtlich jeder Tätigkeit aus gutachterlicher Sicht als aufgehoben beurteilt wurde) – zur Zusprache einer ganzen Rente der Invalidenversicherung ab dem 1. April 2019. Angesichts des jungen Alters des Beschwerdeführers erscheint es sinnvoll, wenn die Beschwerdegegnerin d en Beschwerdeführer dazu anhält, die langfristig aus gerichtete kognitive Verhaltenstherapie fortzusetzen. Auch wenn Dr. B.___ diese Therapie primär zum Zwecke der Aufrechterhaltung der erreichten Stabili sierung auf sehr tiefem Niveau empfahl, kann nicht ausgeschlossen werden, dass sie irgendwann soweit greift, dass zumindest eine Teilarbeitsfähigkeit erlangt werden könnte , was die Beschwerdegegnerin zu überprüfen haben wird.</w:t>
      </w:r>
    </w:p>
    <w:p>
      <w:r>
        <w:rPr>
          <w:b/>
        </w:rPr>
        <w:t>E. 4</w:t>
      </w:r>
    </w:p>
    <w:p>
      <w:r>
        <w:t>Die Beschwerdegegnerin wird verpflichtet, dem Beschwerdeführer eine Parteientschä digung von Fr. 3’000 .-- (inkl. Barauslagen und MWST) zu bezahlen.</w:t>
      </w:r>
    </w:p>
    <w:p>
      <w:r>
        <w:rPr>
          <w:b/>
        </w:rPr>
        <w:t>E. 4.1</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1'000.-- anzusetzen und ausgangsgemäss der unterliegenden Beschwerdegegnerin aufzuerlegen. Damit wird das Gesuch um unentgeltliche Prozessführung des Beschwerdeführers gegenstandslos.</w:t>
      </w:r>
    </w:p>
    <w:p>
      <w:r>
        <w:rPr>
          <w:b/>
        </w:rPr>
        <w:t>E. 5</w:t>
      </w:r>
    </w:p>
    <w:p>
      <w:r>
        <w:t>Zustellung gegen Empfangsschein an: - Rechtsanwalt Lorenz Ineichen, unter Beilage je eines Doppels von Urk. 50 und 51 - Sozialversicherungsanstalt des Kantons Zürich, IV-Stelle, unter Beilage des Doppels von Urk. 48 - Bundesamt für Sozialversicherungen sowie an: - Gerichtskasse (im Dispositiv nach Eintritt der Rechtskraft)</w:t>
      </w:r>
    </w:p>
    <w:p>
      <w:r>
        <w:rPr>
          <w:b/>
        </w:rPr>
        <w:t>E. 6</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