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IV.2022.00233 vom 23. November 2022</w:t>
      </w:r>
    </w:p>
    <w:p>
      <w:r>
        <w:t>ZH Sozialversicherungsgericht, 2022-11-23, DE</w:t>
      </w:r>
    </w:p>
    <w:p>
      <w:r>
        <w:rPr>
          <w:b/>
        </w:rPr>
        <w:t xml:space="preserve">Quelle: </w:t>
      </w:r>
      <w:r>
        <w:t>https://mcp.opencaselaw.ch/entscheid/zh_sozialversicherungsgericht_IV.2022.00233</w:t>
      </w:r>
    </w:p>
    <w:p>
      <w:r>
        <w:t>FR: ZH_SOZIALVERSICHERUNGSGERICHT IV.2022.00233 du 23 novembre 2022</w:t>
      </w:r>
    </w:p>
    <w:p>
      <w:r>
        <w:t>IT: ZH_SOZIALVERSICHERUNGSGERICHT IV.2022.00233 del 23 novembre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7. Juli 2015 auf eine 50%ige Arbeitsfähigkeit und spätestens ab September 2020 ( Verlaufs begutachtung ) auf eine 80%ige Arbeitsfähigkeit in bisheriger und angepasster Tätigkeit schloss</w:t>
      </w:r>
    </w:p>
    <w:p>
      <w:r>
        <w:t>(vgl. E.</w:t>
      </w:r>
    </w:p>
    <w:p>
      <w:r>
        <w:rPr>
          <w:b/>
        </w:rPr>
        <w:t>E. 3</w:t>
      </w:r>
    </w:p>
    <w:p>
      <w:r>
        <w:t>.5 hiervor) .</w:t>
      </w:r>
    </w:p>
    <w:p>
      <w:r>
        <w:rPr>
          <w:b/>
        </w:rPr>
        <w:t>E. 4</w:t>
      </w:r>
    </w:p>
    <w:p>
      <w:r>
        <w:t>.3</w:t>
      </w:r>
    </w:p>
    <w:p>
      <w:r>
        <w:t>I m Rahmen des</w:t>
      </w:r>
    </w:p>
    <w:p>
      <w:r>
        <w:t>beweiswertigen Verlaufsgutachtens wurde</w:t>
      </w:r>
    </w:p>
    <w:p>
      <w:r>
        <w:t>die Arbeit sunfähigkeit in nachvollziehbarer Weise festgelegt. U nter Beachtung der von der Recht spre chung entwickelten Indikatoren (vgl. BGE 144 V 50 E. 4.3) wurde dabei d as tatsächlich erreichbare Leistungsvermögen unter Darlegung leistungshin dernde r äusserer Belastungsfaktoren einerseits und Kompensationspotentiale n (Ressour cen) schlüssig aufgezeigt. V on weiteren medizinischen Abklärungen sind damit keine neuen Erkenntnisse zu erwarten, weshalb entgegen dem Antrag des Beschwerdeführers (vgl. Urk. 1 Ziff. 12 ) darauf zu verzichten ist (antizipiert e Beweiswürdigung; BGE 124 V 90 E. 4b).</w:t>
      </w:r>
    </w:p>
    <w:p>
      <w:r>
        <w:rPr>
          <w:b/>
        </w:rPr>
        <w:t>E. 5</w:t>
      </w:r>
    </w:p>
    <w:p>
      <w:r>
        <w:t>.3.2</w:t>
      </w:r>
    </w:p>
    <w:p>
      <w:r>
        <w:t>D ie Beschwerdegegnerin bezifferte das Valideneinkommen</w:t>
      </w:r>
    </w:p>
    <w:p>
      <w:r>
        <w:t>(Jahr 2016) mit</w:t>
      </w:r>
    </w:p>
    <w:p>
      <w:r>
        <w:t>Fr. 36'2</w:t>
      </w:r>
    </w:p>
    <w:p>
      <w:r>
        <w:rPr>
          <w:b/>
        </w:rPr>
        <w:t>E. 9</w:t>
      </w:r>
    </w:p>
    <w:p>
      <w:r>
        <w:t>8. -- ( Fr. 16.62 x 4 2 Stunden x 52 Wochen [ Urk. 8/139 ] ). Sie stützte sich dabei auf die Angaben der Y.___ vom 10. Februar 2016 , wonach der Beschwerdeführer im Rahmen seines letzten Arbeitsverhältnisses vor Eintritt der Gesundheitsschädigung</w:t>
      </w:r>
    </w:p>
    <w:p>
      <w:r>
        <w:t>(Auflösung per 30. September 2015) einen Bruttos tundenlohn von Fr. 18. -- inklusive Ferien ent schädigung (netto Fr. 16.62 zuzüglich 8.33 % [= Fr. 1.38] Ferienentschädigung) verdient</w:t>
      </w:r>
    </w:p>
    <w:p>
      <w:r>
        <w:t>hat te ( Urk. 8/41 Ziff. 2.</w:t>
      </w:r>
    </w:p>
    <w:p>
      <w:r>
        <w:rPr>
          <w:b/>
        </w:rPr>
        <w:t>E. 10</w:t>
      </w:r>
    </w:p>
    <w:p>
      <w:r>
        <w:t>und Urk. 11/1-2 - Bundesamt für Sozialversicherungen sowie an: - Gerichtskasse 5.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GräubNef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