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IV.2022.00153 vom 25. Januar 2023</w:t>
      </w:r>
    </w:p>
    <w:p>
      <w:r>
        <w:t>ZH Sozialversicherungsgericht, 2023-01-25, DE</w:t>
      </w:r>
    </w:p>
    <w:p>
      <w:r>
        <w:rPr>
          <w:b/>
        </w:rPr>
        <w:t xml:space="preserve">Quelle: </w:t>
      </w:r>
      <w:r>
        <w:t>https://mcp.opencaselaw.ch/entscheid/zh_sozialversicherungsgericht_IV.2022.00153</w:t>
      </w:r>
    </w:p>
    <w:p>
      <w:r>
        <w:t>FR: ZH_SOZIALVERSICHERUNGSGERICHT IV.2022.00153 du 25 janvier 2023</w:t>
      </w:r>
    </w:p>
    <w:p>
      <w:r>
        <w:t>IT: ZH_SOZIALVERSICHERUNGSGERICHT IV.2022.00153 del 25 gennaio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(Urteil des Bundesgerichts 9C_351/2020 vom 21. September 2020 E. 3.1, insbesondere mit Hinweis auf</w:t>
      </w:r>
    </w:p>
    <w:p>
      <w:r>
        <w:t>BGE</w:t>
      </w:r>
    </w:p>
    <w:p>
      <w:r>
        <w:t>117 V 198 E. 3a, 109 V 108 E. 2b).</w:t>
      </w:r>
    </w:p>
    <w:p>
      <w:r>
        <w:rPr>
          <w:b/>
        </w:rPr>
        <w:t>E. 1.5</w:t>
      </w:r>
    </w:p>
    <w:p>
      <w:r>
        <w:t>Zeitlicher Ausgangspunkt für die Beurteilung einer anspruchserheblichen Ände rung des Invaliditätsgrades bildet bei der Neuanmeldung die letzte rechtskräftige Verfügung, die auf einer materiellen Prüfung des Rentenanspruchs beruht. Dem gemäss sind die Verhältnisse bei Erlass der strittigen Verwaltungsverfügung mit denjenigen im Zeitpunkt der letzten materiellen Anspruchsverneinung zu ver glei chen (BGE 130 V 64 E. 2, 130 V 71 E. 3, 133 V 108 E. 5.2 und E. 5.4). Dabei stellt die bloss unterschiedliche Beurteilung der Auswirkungen eines im Wesent lichen unverändert gebliebenen Gesundheitszustandes auf die Arbeitsfähigkeit für sich allein genommen keinen Revisionsgrund im Sinne von Art. 17 Abs. 1 ATSG dar (BGE 133 V 108; vgl. auch BGE 130 V 71 E. 3.2.3).</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Dagegen liess die Versicherte am 14. März 2022 Beschwerde erheben und bean tragen, die angefochtene Verfügung sei aufzuheben und ihr sei eine ganze Rente der Invalidenversicherung zuzusprechen; eventualiter sei über den Gesundheits zustand und die Arbeitsfähigkeit zunächst ein unabhängiges medizinisches Gut achten mit den Fachdisziplinen Neuropsychologie, Psychiatrie und Neurologie erstellen zu lassen (Urk. 1 S. 2). Mit Beschwerdeantwort vom 6. Mai 2022 schloss die Beschwerdegegnerin auf Abweisung der Beschwerde (Urk.</w:t>
      </w:r>
    </w:p>
    <w:p>
      <w:r>
        <w:rPr>
          <w:b/>
        </w:rPr>
        <w:t>E. 2.1</w:t>
      </w:r>
    </w:p>
    <w:p>
      <w:r>
        <w:t>Die Beschwerdegegnerin erwog im angefochtenen Entscheid, die Abklärungen hätten ergeben, dass der Beschwerdeführerin ihre bisherige Tätigkeit als Care Seniorenbetreuung zu 100 % zumutbar sei. Aus somatischer und chirurgischer Sicht habe kurzzeitig eine Verschlechterung aufgrund der Oberarmfraktur und des Darmverschlusses bestanden. Aus psychiatrischer Sicht sei der Gesundheits zustand seit dem Jahr 2016 unverändert. Da keine langandauernden gesundheit lichen Einschränkungen vorlägen , bestehe kein Leistungsanspruch (Urk. 2).</w:t>
      </w:r>
    </w:p>
    <w:p>
      <w:r>
        <w:rPr>
          <w:b/>
        </w:rPr>
        <w:t>E. 2.2</w:t>
      </w:r>
    </w:p>
    <w:p>
      <w:r>
        <w:t>Demgegenüber machte die Beschwerdeführerin geltend, sie leide unter erhebli che n gesundheitliche n Einschränkungen, die sich längerfristig und dauerhaft auf die Ar beitsfähigkeit auswirken würden . Deswegen sei sie auf dem ersten Arbeits markt nicht mehr arbeitsfähig und ihr sei krankheitsbedingt auch keine Tätigkeit als Seniorenbetreuerin mehr möglich und zumutbar. Ihr Gesundheitszustand und ihre Arbeitsfähigkeit hätten sich seit dem letzten IV-Gutachten vom 10. Septem ber 2016 klar verschlechtert (Urk. 1 S. 4). Zudem gehe es vorliegend nicht nur darum, ob sich der Gesundheitszustand aus psychiatrischer Sicht sei t 2016 ver ändert habe, sondern vor allem auch um die bei ihr neu eingetretenen und ganz erheblichen neuropsychologischen Einschränkungen. Davon abgesehen habe sich auch der psychopathologische Befund verschlechtert (Urk. 1 S. 6). 3. 3.1</w:t>
      </w:r>
    </w:p>
    <w:p>
      <w:r>
        <w:t>Dem rentenverneinenden Entscheid vom 1 9. Juni 2017 lag das bidisziplinäre Gut achten der Y.___ zugrunde. In diesem wurden folgende Diagnosen mit Auswirkung auf die Arbeitsfähigkeit genannt (Urk. 6/47/8): - Multipler Substanzgebrauch (ICD.10: F19.22) - Ersatz mit Methadon seit 1993 - Beikonsum Opiate und Kokain - Störung der Selbstregulation - Erschöpfungssyndrom (ICD-10: Z73.0) - Rezidivierende depressive Störung (ICD-10: F33.01), gegenwärtig leichte Episode mit somatischem Syndrom</w:t>
      </w:r>
    </w:p>
    <w:p>
      <w:r>
        <w:t>Der Diagnose «Störung durch Alkohol, Abhängigkeitssyndrom (ICD-10: F10.25), ständiger Substanzgebrauch» wurde keine Auswirkung auf die Arbeitsfähigkeit beigemessen (Urk. 6/47/8).</w:t>
      </w:r>
    </w:p>
    <w:p>
      <w:r>
        <w:t>Im psychiatrischen Teilgutachten wurde festgehalten, die Versicherte sei wach, bewusstseinsklar und allseits orientiert. Im Verlauf des dreistündigen Gesprächs sei eine leichte Abnahme der Konzentrationsfähigkeit festzustellen, ansonsten bestünden keine Störungen der Auffassung, Konzentration und Merkfähigkeit. Die Grundstimmung sei ängstlich. Im Affekt sei sie leicht verstimmt mit Mangel an Freude und Interesse, mittelgradigem Mangel an Vitalität, Kraft und Ausdauer. Die Schwingungsfähigkeit sei leicht eingeschränkt. Psychomotorisch sei eine leichte Verlangsamung auszumachen (Urk. 6/47/21).</w:t>
      </w:r>
    </w:p>
    <w:p>
      <w:r>
        <w:t>Die Versicherte leide unter einer seit dem Jahr 1991 bestehenden Abhängigkeits erk r ankung durch multiplen Substanzgebrauch. Die entsprechenden Merkmale der Abhängigkeit mit einem starken Konsumwunsch, verminderter Kontrollfähigkeit, körperlichen Entzugssymptomen, dem Nachweis einer Toleranz und Vernachläs sigung anderer Vergnügen lägen vor. Die Suchtdynamik werde durch die Substi tution mit Methadon gemildert, es liege ein Beikonsum von Kokain und Heroin vor (Urk. 6/47/26). Aufgrund der Anamnese und des aktuellen Psychostatus sei von einer erheblichen strukturellen Störung der Persönlichkeit auszugehen mit einem Mangel an Fähigkeiten zur Selbstregulation (Urk. 6/47/26).</w:t>
      </w:r>
    </w:p>
    <w:p>
      <w:r>
        <w:t>Zur Arbeitsfähigkeit wurde festgehalten, die Versicherte sei auf einen Einzel arbeitsplatz angewiesen. In einer gut angepassten Anstellung könne sie eine genügende Arbeitsleistung erbringen, wobei die Leistungsfähigkeit aufgrund der erhöhten Erschöpfbarkeit und der Notwendigkeit für zusätzliche Pausen um 20 % reduziert sein dürfte. Die Arbeitsfähigkeit betrage aus psychiatrischer Sicht 40 % ( Urk. 6/47/32). Da aus somatischer Sicht keine zusätzlichen Einschränkungen festgestellt wurden, kamen die Gutachter in der Gesamtbeurteilung zum Schluss, die Arbeitsfähigkeit betrage 40 % ( Urk. 6/47/10). 3.2</w:t>
      </w:r>
    </w:p>
    <w:p>
      <w:r>
        <w:t>Im Rahmen der vorliegenden Neuanmeldung präsentierte sich der medizinische Sachverhalt im Wesentlichen wie folgt: 3.2.1</w:t>
      </w:r>
    </w:p>
    <w:p>
      <w:r>
        <w:t>Die Behandler des Spital s</w:t>
      </w:r>
    </w:p>
    <w:p>
      <w:r>
        <w:t>Z.___</w:t>
      </w:r>
    </w:p>
    <w:p>
      <w:r>
        <w:t>führten in ihrem Bericht vom 5. Februar 2021 folgende Diagnosen auf (Urk. 6/91 /1 ) : - Dislozierte Humeruskopffraktur rechts - Psychische und Verhaltensstörungen durch Opioide, gegenwärtige Teil nahme an einem ärztlich überwachten Ersatzdrogenprogramm (ICD-10: F11.22) - Psychische und Verhaltensstörung durch Stimulanzien (Methylphenidat), kontrollierte Abhängigkeit (ICD-10: F15.22) - Verdacht auf generalisierte Angststörung (ICD-10: F41.1) - Rezidivierende depressive Störung, gegenwärtig leichte Episode (ICD-10: F32.0) - Hepatitis C positiv - Status nach Hepatitis B Die Ärzte erklärten, aufgrund der Malcompliance bei der Ruhigstellung sowie der Missachtung des Besuchs- und Rauchverbots sei im Hinblick auf eine obligate Ruhigstellung postoperativ der Wechsel auf ein konservatives V orgehen beschlossen worden. Bei der Morgenvisite seien am zweiten Hospitalisationstag sodann mehrere Blister Ritalin und eine leere Packung Temesta im Bett gefunden worden, nachdem die Beschwerdeführerin schwer weckbar gewesen sei. Ihr sei angeboten worden, eine Übergangslösung bis zur nächsten Konsultation zu fin den, dies habe die Beschwerdeführerin jedoch abgelehnt. Sie sei anschliessend in die häusliche Umgebung entlassen worden (Urk. 6/91/2). 3.2.2</w:t>
      </w:r>
    </w:p>
    <w:p>
      <w:r>
        <w:t>Aus dem Austrittsbericht vom 12. April 2021 des Stadtspital s</w:t>
      </w:r>
    </w:p>
    <w:p>
      <w:r>
        <w:t>A.___ und B.___ geht hervor, dass die Beschwerdeführerin bei seit drei Tagen bestehenden diffusen abdominalen Schmerzen zugewiesen worden sei. Es seien abführende Massnah men mittels intravenöser antibiotischer Therapie mit Ceftriaxon und Metronida zol</w:t>
      </w:r>
    </w:p>
    <w:p>
      <w:r>
        <w:t>durchgeführt worden . Klinisch und CT-graphisch habe die Diagnose eines paralytischen Dünndarmileus am ehesten im Rahmen der opioidhaltigen Analge sie gestellt werden können. Auf dem Notfall sei der Beschwerdeführerin eine Magensonde gesetzt worden . Weil sie diese nicht toleriert</w:t>
      </w:r>
    </w:p>
    <w:p>
      <w:r>
        <w:t>habe, sei die stationäre Aufnahme zur empirischen intravenösen antibiotischen Therapie erfolgt. Nach der Gabe von Gastrografin habe die Beschwerdeführerin Stuhlgang gehabt und es habe sich eine klinische Besserung gezeigt. Die antibiotische Therapie habe am fünften stationären Tag bei regredienten Entzündungsparametern beendet werden können. Die Beschwerdeführerin habe am 13. April 2021 in gebessertem All gemeinzustand zurück in das häusliche Umfeld entlassen werden können (Urk. 6/108/14). 3.2.3</w:t>
      </w:r>
    </w:p>
    <w:p>
      <w:r>
        <w:t>Am 15. April 2021 nahm RAD-Arzt Dr. med. C.___ , Facharzt Chirurgie, eine erste versicherungsmedizinische Beurteilung vor. Dr. C.___ hielt fest, es sei in sechs Monaten eine medizinische Neubeurteilung empfohlen, da der Gesund heitszustand instabil und besserungsfähig sei. Durch die Oberarmfraktur habe sich der Gesundheitszustand der Beschwerdeführerin geändert, fraglich bleibe jedoch, ob die Heilung komplikationslos verlaufe oder ob es zu bleibenden Schäden mit Einfluss auf eine Arbeitsfähigkeit kommen würde . Dies sei aber anhand der spärlichen Aktenlage und der « Fr ische» des Gesundheitsschadens ver sicherungsmedizinisch noch nicht abschliessend beurteilbar (Urk. 6/109/3). 3.2. 4</w:t>
      </w:r>
    </w:p>
    <w:p>
      <w:r>
        <w:t>Am 11. Mai 2021 wurde die Beschwerdeführerin verhaltensneurologisch-neuropsychologisch untersucht. Lic. phil. D.___ , Neuropsycho login/Psychologin FSP, und Dr. med. E.___ , Fachärztin Nervenkrank heiten (Neurologie), führten in ihrem Bericht aus, aus neurokognitiver Sicht liege vorbestehend eine frühkindlich erworbene zerebrale Entwicklungsstörung mi t verminderter Belastbarkeit bei aktuell mittelgradiger neurokognitiver Funktions störung vor. Befundmässig notierten sie, anlässlich der Abklärung habe sich die Beschwerdeführerin mit Status nach Polytoxikomanie, leichtem Tremor in den Händen, kognitiver sowie psychomotorischer Verlangsamung, leichter Antriebs minder ung , jedoch trotz verminderter Belastbarkeit guter Anstrengungsbere i t schaft gezeigt. Affektiv habe sie vermindert schwingungsfähig gewirkt. Im ADHS-Fragebogen zur Kindheit sowie zum Erwachsenenalter sei ein deutlich über dem Cut-off liegender Wert erzielt worden. Sie empfahlen je nach Verlauf, ins besondere bei Zunahme der kognitiven Einschränkungen, zusätzlich zum Aus schluss struktureller Läsionen bei Status nach Polytoxikomanie sowie weiterhin bestehendem Alkoholkonsum ein Schädel-MRI anzufertigen. Im Vordergrund würde jedoch die Aufnahme einer fachpsychiatrischen/psychotherapeutischen Behandlung insbesondere bei weiterhin bestehender Suchtneigung und zum Erlernen von Verhaltensstrategien im Umgang mit der ADHS-Symptomatik ste hen . Zudem sei die Fortsetzung einer medikamentösen Therapie mit einem Methylphenidat-Präparat indiziert, sofern keine Kontraindikation bestehe ;</w:t>
      </w:r>
    </w:p>
    <w:p>
      <w:r>
        <w:t>d ies unter engmaschiger fachpsychiatrischer Betreuung. Weiter führten sie aus, auf grund der erhobenen Befunde sei die Beschwerdeführerin aktuell auf dem ersten Arbeitsmarkt nicht vermittelbar (Urk. 6/105/1-2) . 3.2.5</w:t>
      </w:r>
    </w:p>
    <w:p>
      <w:r>
        <w:t>In seinem Verlaufsbericht vom 27. August 2021 berichtete Dr. med. F.___ , Facharzt Allgemeine Innere Medizin, die ambulante Behandlung erfolge durch ihn seit dem 15. Juni 202 0. Die Beschwerdeführerin sei situationsabhängig alle zwei bis drei Wochen bei ihm in Behandlung. Er habe keine Arbeitsunfähigkeit attestiert, seit dem 15. Juni 2020 sei die Beschwerdeführerin aber nicht in einem Zustand der Arbeitsfähigkeit. Die Beschwerdeführerin habe ein Kindheitstrauma erlebt, sie habe seitens ihres biologischen Vaters Gewalthandlungen erlebt und wenig Schutz erhalten. Ihr Zustand sei unter Suchtsubstitution und bei funktio nell geheilter Humerus kopf fraktur rechts stabil (Urk. 6/108/2). 3.2.6</w:t>
      </w:r>
    </w:p>
    <w:p>
      <w:r>
        <w:t>RAD-Arzt Dr. med. G.___ führte in seiner versicherungspsychiatrischen Stellungnahme aus, die neurokognitive Testung vom 11. Mai 2021 habe eine frühkindliche zerebrale Entwicklungsstörung mit verbaler Lernschwäche, ADHS, Suchtverhalten und affektpathologischer Begleitsymptomatik gezeigt. Die Beschwerdeführerin habe trotz verbaler Lernschwäche und ADHS eine Ausbil dung abschliessen können. Die Untersuchungsergebnisse seien möglicherweise auch durch den Substanzkonsum und durch die affektpathologische Begleitsymp tomatik bedingt . Die neue ADHS-Diagnose sei nicht ausreichend klinisch gesi chert. Im Rahmen der Begutachtung im Jahr 2016 sei keine neuropsychologische Abklärung erfolgt, der psychopathologische Befund sei im Wesentlichen jedoch auf Verhaltensebene unverändert. Es sei daher keine nennenswerte Verschlechte rung gegenüber dem Jahr 2016 aufgetreten (Urk. 6/109/6-7). 4. 4.1</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nicht auf eine für den Invaliditätsgrad erhebliche Tatsachenänderung geschlossen werden (Urteil des Bundesgerichts 9C_602/2016 vom 14. Dezember 2016 E. 5.1 mit weiteren Hinweisen). Auch das Hinzutreten einer neuen Diagnose stellt nicht per se einen Revisionsgrund dar, weil damit das quantitative Element der (erheblichen) Gesundheitsverschlechterung nicht zwingend ausgewiesen ist (BGE 141 V 9 E. 5.2 mit Hinweisen). Massgebend ist einzig, ob beziehungsweise in welchem Ausmass – unabh ängig von der Diagnose und grundsätzlich unbese hen der Ätiologie – den medizinischen Akten eine Verschlechterung der Arbeits- beziehungsweise der Erwerbsfähigkeit im relevanten Zeitraum entnommen werden kann (vgl. Urteile des Bundesgerichts 8C_664/2017 vom 25. Januar 2018 E. 9 und 9C_799/2016 vom 21. März 2017 E. 5.2.1 mit weiteren Hinweisen). 4.2</w:t>
      </w:r>
    </w:p>
    <w:p>
      <w:r>
        <w:t>Entgegen der Auffassung der Beschwerdeführerin mangelt es vorliegend an einem Revisionsgrund im vorgenannten Sinn. Aus den Akten geht hervor, dass sich die gesundheitliche Situation der Beschwerdeführerin im massgeblichen Zeitraum nicht relevant verändert hat. Aus somatischer Sicht traten im Februar 202 1 eine Humeruskopffraktur rechts sowie im April 2021 ein Darmverschluss auf. Hinweise dafür, dass aufgrund der somatischen Beschwerden e ine wesentli che Verschlechterung des Gesundheitszustandes der Beschwerdeführerin ein ge treten ist, bestehen jedoch nicht. So führte die Beschwerdeführerin anlässlich der neuropsychologischen Untersuchung lediglich aus, sie gehe aufgrund der Schul ter- und Armfraktur weiterhin in die Physiotherapie. Eine attestierte andauernde Arbeitsunfähigkeit aufgrund der somatischen Beschwerden ist nicht aktenkundig und wurde von der Beschwerdeführerin auch nicht geltend gemacht. Dass die Humeruskopf fraktur rechts oder der Darmverschluss zu weiteren Behandlungen geführt hätten, geht aus den Akten ebenso wenig hervor.</w:t>
      </w:r>
    </w:p>
    <w:p>
      <w:r>
        <w:t>Auch in Bezug auf die psychischen Beschwerden ist keine wesentliche Ver schlechterung des Gesundheitszustandes ausgewiesen. D ie Beschwerdeführerin berichtete bereits anlässlich der Begutachtung durch die Y.___</w:t>
      </w:r>
    </w:p>
    <w:p>
      <w:r>
        <w:t>im September 2016 , sie kämpfe seit Jahren mit Depressionen und Müdigkeit. Seit dem 16. L ebensjahr leide sie an einer Drogensucht und depressiver Verstimmung (vgl. Urk. 6/47/5 und 6/47/9 ). Zwar kamen lic. phil. D.___ sowie Dr. E.___ aufgrund der neuropsychologischen Testung zum Schluss, die Versicherte sei vollständig arbeitsunfähig. Die von ihnen erhobenen Befunde unterscheiden sich indes nicht wesentlich von diejenigen, die anlässlich der Begutachtung im September 2016 beschrieben worden waren. So hatte bereits der damalige Gut achter, Dr. med. H.___ , Facharzt Psychiatrie und Psychothera pie, von einer affektiven Verstimmung und einer psychomotorischen Verlang samung berichtet ( Urk. 6/47/21). Den Angaben der Versicherten bezüglich ihrer kogniti ven Leistungsfähigkeit ist zudem zu entnehmen, dass sie schon immer unauf merksam und rasch ablenkbar gewesen sei ( Urk. 6/105/3), was gegen eine Ver schlechterung des Gesundheitszustandes spricht. Lic. phil. D.___ und Dr. E.___ stellten denn auch die Diagnose einer vorbestehenden frühkindlich erworbenen zerebralen Entwicklungsstörung, was auf ein seit langem bestehen des Leiden schliessen lässt. Im Übrigen legten sie in ihrem Bericht auch nicht dar, dass und inwiefern sich der Gesundheitszustand der Beschwerdeführerin ver schlechtert haben sollte. Insofern die Beschwerdeführerin geltend macht, im Bericht über die neuropsychologische Testung sei ein leichter Tremor der Hände erwähnt, was belege, dass sich ihr Gesundheitszustand verschlechtert habe ( Urk. 1 S. 6-7), ist ihr zum einen entgegenzuhalten, dass gleichzeitig erwähnt ist, dass der Tremor toxisch bedingt sein könnte, da sie am Tag der Untersuchung das ihr verordnete Methadon sowie das Antidepressivum nicht einnehmen konnte ( Urk. 6/105/5). Zum anderen lässt sich dem Bericht entnehmen, dass die Beschwerdeführerin gegenüber den Fachpersonen keinen Tremor erwähnte, was dagegen spricht , dass sie durch einen solchen eingeschränkt wird. 4.3</w:t>
      </w:r>
    </w:p>
    <w:p>
      <w:r>
        <w:t>Eine relevante Verschlechterung des Gesundheitszustandes der Beschwerdeführe rin ist nach dem Gesagten nicht dokumentiert</w:t>
      </w:r>
    </w:p>
    <w:p>
      <w:r>
        <w:t>und von weiteren Abklärungen sind keine entscheidwesentlichen neuen Erkenntnisse zu erwarten, weshalb in antizi pierter Beweiswürdigung (BGE 144 V 361 E 6.5, 136 I 299 E 5.3 ) davon abgesehen werden kann. Da keine wesentli che dauerhafte Veränderung des Gesundheits zustandes vor liegt , ist keine in rechtlicher und tatsäc hlicher Hinsicht umfassende Neu prüfung des Rentenanspruch s vorzunehmen (vgl. E. 1.4). 4.4</w:t>
      </w:r>
    </w:p>
    <w:p>
      <w:r>
        <w:t>S oweit die Beschwerdeführerin sodann geltend macht, es sei im Rahmen eines neuen Gutachtens die neue Rechtsprechung gemäss BGE 145 V 215 anzuwenden und mittels eines strukturierten Beweisverfahrens zu prüfen, ob und wie sich das Abhängigkeitssyndrom auf die Arbeitsfähigkeit auswirke (Urk. 1 S. 8) , vermag sie damit nicht durchzudringen. Das Bundesgericht hat in seinem Leitentscheid BGE</w:t>
      </w:r>
    </w:p>
    <w:p>
      <w:r>
        <w:t>145 V 215 zwar festgehalten, dass nunmehr auch eine primäre Abhängigkeit von Suchtmitteln grundsätzlich als invalidisierender Gesundheitsschaden in Frage kommt. Nach höchstrichterlicher Rechtsprechung besteht jedoch der Grundsatz, dass eine Praxisänderung keine Änderung formell rechtskräftiger Ver fügungen über eine Dauerleistung rechtfertigt . In BGE 147 V 234 hat das Bundesgericht erkannt, dass die Änderung der Rechtsprechung gemäss BGE 145 V 215 (wie schon jene von BGE 141 V 281 und jene von BGE 143 V 409 und 418) keinen hinreichenden Anlass bildet, um vom Grundsatz der Nichtanpassung eines for mell rechtskräftigen Verwaltungsentscheides an eine geänderte Rechts praxis abzuweichen (E. 6). Da eine wesentliche Verschlechterung des Gesund heitszu standes nicht ausgewiesen ist, ist die neue Rechtsprechung auf den vorlie genden Sachverhalt nicht anwendbar und die Beschwerdegegnerin hat zu Recht, ohne Verletzung der Untersuchungspflicht , auf die Durchführung eines struktu rierten Beweisverfahrens verzichtet.</w:t>
      </w:r>
    </w:p>
    <w:p>
      <w:r>
        <w:t>Die angefochtene Verfügung vom 18. Februar 2022 erweist sich damit im Ergeb nis als rechtens, was zur Abweisung der Beschwerde führt. 5.</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die Verfahrenskosten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Dr. Peter Stadler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r>
        <w:rPr>
          <w:b/>
        </w:rPr>
        <w:t>E. 5</w:t>
      </w:r>
    </w:p>
    <w:p>
      <w:r>
        <w:t>). Mit Eingabe vom 24. Mai 2022 liess sich die Beschwerdeführerin erneut vernehmen (Urk. 8), worüber die Beschwerdegegnerin mit Verfügung vom 30. Mai 2022 in Kenntnis gesetzt wurde (Urk. 9). 3.</w:t>
      </w:r>
    </w:p>
    <w:p>
      <w:r>
        <w:t>Auf die Vorbringen der Parteien und die eingereichten Unterlagen wird, soweit erforderlich, in den nachfolgenden Erwägungen eingegangen.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