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IV.2022.00071 vom 28. März 2023</w:t>
      </w:r>
    </w:p>
    <w:p>
      <w:r>
        <w:t>ZH Sozialversicherungsgericht, 2023-03-28, DE</w:t>
      </w:r>
    </w:p>
    <w:p>
      <w:r>
        <w:rPr>
          <w:b/>
        </w:rPr>
        <w:t xml:space="preserve">Quelle: </w:t>
      </w:r>
      <w:r>
        <w:t>https://mcp.opencaselaw.ch/entscheid/zh_sozialversicherungsgericht_IV.2022.00071</w:t>
      </w:r>
    </w:p>
    <w:p>
      <w:r>
        <w:t>FR: ZH_SOZIALVERSICHERUNGSGERICHT IV.2022.00071 du 28 mars 2023</w:t>
      </w:r>
    </w:p>
    <w:p>
      <w:r>
        <w:t>IT: ZH_SOZIALVERSICHERUNGSGERICHT IV.2022.00071 del 28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Darlegung der medizinischen Zusammenhänge und in der Beurteilung der medi zini schen Situation einleuchtet und ob die Schlussfolgerungen des Experten begrün det sind (BGE 125 V 352 E. 3a, 122 V 160 E. 1c, je mit Hinweisen).</w:t>
      </w:r>
    </w:p>
    <w:p>
      <w:r>
        <w:rPr>
          <w:b/>
        </w:rPr>
        <w:t>E. 2</w:t>
      </w:r>
    </w:p>
    <w:p>
      <w:r>
        <w:t>Dagegen erhob der Vertreter der Versicherten am 1. Februar 2022 Beschwerde und beantragte, es sei der Beschwerdeführerin ab 1. Oktober 2018 eine ganze Rente zuzusprechen, eventualiter sei die Sache zur polydisziplinären Abklärung an die Beschwerdegegnerin zurückzuweisen, subeventualiter sei eine solche Abklärung im Rahmen des hängigen Gerichtsverfahrens durchzuführen. Weiter sei ein zweiter Schriftenwechsel durchzuführen; unter Kosten- und Entschädi gungsfolgen zu Lasten der Beschwerdegegnerin (Urk. 1 S. 2).</w:t>
      </w:r>
    </w:p>
    <w:p>
      <w:r>
        <w:t>Mit Beschwerdeantwort vom 14. März 2022 beantragte die Beschwerdegegnerin die Abweisung der Beschwerde (Urk. 6), mit Replik vom 28. März 2022 hielt der Vertreter der Beschwerdeführer in an den bereits gestellten Anträgen fest (Urk. 9). Mit Schreiben vom 13. Mai 2022 verzichtete die Beschwerdegegnerin auf das Einreichen einer Duplik (Urk. 11), was der Beschwerdeführerin mit Verfügung vom 20. Mai 2022 zur Kenntnis gebracht wurde (Urk. 12). Das Gericht zieht in Erwägung: 1.</w:t>
      </w:r>
    </w:p>
    <w:p>
      <w:r>
        <w:rPr>
          <w:b/>
        </w:rPr>
        <w:t>E. 2.1</w:t>
      </w:r>
    </w:p>
    <w:p>
      <w:r>
        <w:t>Die Beschwerdegegnerin begründete die angefochtene Verfügung damit, dass in einer angepassten Tätigkeit von einer 100%igen Arbeitsfähigkeit auszugehen sei. Dabei könne die Beschwerdeführerin ein Einkommen von Fr. 54'681.20 erzielen, wobei kein leidensbedingter Abzug angezeigt sei. Bei einem massgebenden Vali deneinkommen von Fr. 73'410.75 führe dies zu einem rentenausschliessenden Invaliditätsgrad von 26 % (Urk. 2 , vgl. auch Urk. 6 ).</w:t>
      </w:r>
    </w:p>
    <w:p>
      <w:r>
        <w:rPr>
          <w:b/>
        </w:rPr>
        <w:t>E. 2.2</w:t>
      </w:r>
    </w:p>
    <w:p>
      <w:r>
        <w:t>Demgegenüber machte der Vertreter der Beschwerdeführerin im Wesentlichen geltend, dass eine administrative Erstbegutachtung in der Regel polydisziplinär zu erfolgen habe, dies umso</w:t>
      </w:r>
    </w:p>
    <w:p>
      <w:r>
        <w:t>mehr als die Einschätzung der Arbeitsfähigkeit aus neuro-otologischer Sicht nicht schlüssig sei (Urk. 1 S. 5 ff. , insb esondere S. 7 unten). Weiter leide die Beschwerdeführerin auch an einer Fettlebererkrankung, sodass diese nicht nur in orthopädische r und psychiatrische r ,</w:t>
      </w:r>
    </w:p>
    <w:p>
      <w:r>
        <w:t>sondern auch in internistische r und neuro-otologische r</w:t>
      </w:r>
    </w:p>
    <w:p>
      <w:r>
        <w:t>Hinsicht abzuklären sei (S. 8 f. ). Bezüglich des vorliegenden Gutachtens sei anzumerken, dass die Gutachter die Erfahrungen und Feststellungen der Arbeitsintegration völlig unberücksichtigt gelassen hätten (S. 10 f. ). Ausgehend von einer Arbeitsfähigkeit von 50 % sowie einem leidens bedingten Abzug in der Höhe von mindestens 20 % resultiere ein Invaliditätsgrad von 71 % (S. 1</w:t>
      </w:r>
    </w:p>
    <w:p>
      <w:r>
        <w:rPr>
          <w:b/>
        </w:rPr>
        <w:t>E. 5</w:t>
      </w:r>
    </w:p>
    <w:p>
      <w:r>
        <w:t>ff., vgl. auch Urk.</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5.2</w:t>
      </w:r>
    </w:p>
    <w:p>
      <w:r>
        <w:t>Die Rückweisung einer Sache kommt einem Obsiegen der Beschwerdeführerin gleich. Ausgangsgemäss ist die Beschwerdegegnerin demnach zu verpflichten, der Beschwerdeführerin eine angemessene Prozessentschädigung zu bezahlen, wel che in Anwendung von Art. 61 lit. g ATSG, namentlich unter Berücksichtigung der Bedeutung der Streitsache und der Schwierigkeit des Prozesses auf Fr.</w:t>
      </w:r>
    </w:p>
    <w:p>
      <w:r>
        <w:t>2 '</w:t>
      </w:r>
    </w:p>
    <w:p>
      <w:r>
        <w:rPr>
          <w:b/>
        </w:rPr>
        <w:t>E. 9</w:t>
      </w:r>
    </w:p>
    <w:p>
      <w:r>
        <w:t>00.- (inklusive Barauslagen und Mehrwertsteuer) festzusetzen ist. Das Gericht erkennt: 1.</w:t>
      </w:r>
    </w:p>
    <w:p>
      <w:r>
        <w:t>Die Beschwerde wird in dem Sinne gutgeheissen, dass die angefochtene Verfügung vom 18. Januar 2022 aufgehoben und die Sache an die Sozialversicherungsanstalt des Kan tons Zürich, IV-Stelle, zurückgewiesen wird, damit diese, nach erfolgter Abklärung im Sinne der Erwägungen, über den Rentenanspruch de r Beschwerdeführer 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2’900 .-- ( inklusive Barauslagen und Mehrwertsteuer ) zu bezahlen. 4.</w:t>
      </w:r>
    </w:p>
    <w:p>
      <w:r>
        <w:t>Zustellung gegen Empfangsschein an: - Rechtsanwalt Dr. Roger Peter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