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IV.2021.00745 vom 22. März 2022</w:t>
      </w:r>
    </w:p>
    <w:p>
      <w:r>
        <w:t>ZH Sozialversicherungsgericht, 2022-03-22, DE</w:t>
      </w:r>
    </w:p>
    <w:p>
      <w:r>
        <w:rPr>
          <w:b/>
        </w:rPr>
        <w:t xml:space="preserve">Quelle: </w:t>
      </w:r>
      <w:r>
        <w:t>https://mcp.opencaselaw.ch/entscheid/zh_sozialversicherungsgericht_IV.2021.00745</w:t>
      </w:r>
    </w:p>
    <w:p>
      <w:r>
        <w:t>FR: ZH_SOZIALVERSICHERUNGSGERICHT IV.2021.00745 du 22 mars 2022</w:t>
      </w:r>
    </w:p>
    <w:p>
      <w:r>
        <w:t>IT: ZH_SOZIALVERSICHERUNGSGERICHT IV.2021.00745 del 22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Dem am</w:t>
      </w:r>
    </w:p>
    <w:p>
      <w:r>
        <w:t>1. September 2009 geborene n</w:t>
      </w:r>
    </w:p>
    <w:p>
      <w:r>
        <w:t>X.___</w:t>
      </w:r>
    </w:p>
    <w:p>
      <w:r>
        <w:t>wurde auf Anmeldung sei ner Eltern vom 5. September 2009 ( Urk. 9/ 1) am 2 9. September 2009 Kostengut sprache für medizinische Massnahmen im Zusammenhang mit dem Geburtsge brechen Ziffer 497 des Anhangs zur Verordnung über Geburtsgebrechen ( GgV -Anhang ) erteilt ( Urk. 9/</w:t>
      </w:r>
    </w:p>
    <w:p>
      <w:r>
        <w:rPr>
          <w:b/>
        </w:rPr>
        <w:t>E. 5</w:t>
      </w:r>
    </w:p>
    <w:p>
      <w:r>
        <w:t>: Spitalbehandlung vom 1. bis 6. September 2009 und Nachkontrolle ). Am 1 1. September</w:t>
      </w:r>
    </w:p>
    <w:p>
      <w:r>
        <w:t>2018 meldeten die Eltern den Versicherten unter Hinweis auf eine seit G eburt bestehende hyperkinetische Störung gemäss ICD-10 F90.1 neuerlich für medizinische Massnahmen bei der Invalidenversiche rung an ( Urk. 9/ 7). Am 1 3. Dezember</w:t>
      </w:r>
    </w:p>
    <w:p>
      <w:r>
        <w:t>2018 erteilte die Sozialversicherungsanstalt des Kantons Zürich, IV-Stelle , Kostengutsprache für ambulante Psychotherapie nach Art. 12 des Bundesgesetzes über die Invalidenversicherung (IVG)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