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IV.2021.00648 vom 6. Dezember 2006</w:t>
      </w:r>
    </w:p>
    <w:p>
      <w:r>
        <w:t>ZH Sozialversicherungsgericht, 2006-12-06, DE</w:t>
      </w:r>
    </w:p>
    <w:p>
      <w:r>
        <w:rPr>
          <w:b/>
        </w:rPr>
        <w:t xml:space="preserve">Quelle: </w:t>
      </w:r>
      <w:r>
        <w:t>https://mcp.opencaselaw.ch/entscheid/zh_sozialversicherungsgericht_IV.2021.00648</w:t>
      </w:r>
    </w:p>
    <w:p>
      <w:r>
        <w:t>FR: ZH_SOZIALVERSICHERUNGSGERICHT IV.2021.00648 du 6 décembre 2006</w:t>
      </w:r>
    </w:p>
    <w:p>
      <w:r>
        <w:t>IT: ZH_SOZIALVERSICHERUNGSGERICHT IV.2021.00648 del 6 dicembre 2006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1963 geborene X.___ meldete sich am 1 5. September 2005 (Ein gangsdatum) bei der Sozialversicherungsanstalt des Kantons Zürich, IV-Stelle, zum Leistungsbezug an ( Urk. 8/2). Nach Vornahme medizinischer und erwerb lichen Abklärungen sowie nach durchgeführtem Vorbescheidverfahren ( Urk. 8/22) wies die IV-Stelle mit Verfügung vom 6. Dezember 2006 das Leistungsbegehren des Versicherten ab ( Urk. 8/23) .</w:t>
      </w:r>
    </w:p>
    <w:p>
      <w:r>
        <w:t>Am 9. November 2006 geriet der Versicherte, welcher als Maurer arbeitete, bei der Arbeit unter einen fahrenden Bagger ( Urk. 8/38/74). Das erstbehandelnde Universitätsspital Y.___ diagnostizierte ein Thoraxtra u ma mit Fraktur 7./ 8. Rippe links, nicht disloziert; Beckentraum a mit F ra k t ur Os ilii beidseits, ISG-Sprengung links, Frak t ur unterer und oberer Schambeinast links und A c eta bulum-Fraktur rechts; Extremitätenverletzungen mit distaler Tibiaschaftfraktur rechts, 2-Etagen Fibula-Fraktur rechts, Logensyndrom Fuss rechts und totaler medialer Naviculare -Luxation rechts ( Urk. 8/38/56). Die Suva kam für Heil behandlung s kosten auf und erbrachte Taggeldleistungen. Am 15. Mai 2007 ( Urk. 8/29) meldete sich der Versicherte bei der IV-Stelle zum Leistungsbezug an. Die IV-Stelle nahm erwerbliche und medizinische Abklärungen vor. Die Suva sprach dem Ver sicherten mit Verfügung vom 10. Februar 2009 eine Rente bei einer Erwerbsunfähigkeit von 100 % sowie eine Integritätsentschädigung ent sprechend einer Integritätseinbusse von 50,6 % zu ( Urk. 8/65/5-7). Nach durch geführtem Vorbescheidverfahren ( Urk. 8/79) sprach die IV-Stelle dem Ver sicherten mit Verfügung vom 7. Oktober 2009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