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IV.2021.00643 vom 22. November 2022</w:t>
      </w:r>
    </w:p>
    <w:p>
      <w:r>
        <w:t>ZH Sozialversicherungsgericht, 2022-11-22, DE</w:t>
      </w:r>
    </w:p>
    <w:p>
      <w:r>
        <w:rPr>
          <w:b/>
        </w:rPr>
        <w:t xml:space="preserve">Quelle: </w:t>
      </w:r>
      <w:r>
        <w:t>https://mcp.opencaselaw.ch/entscheid/zh_sozialversicherungsgericht_IV.2021.00643</w:t>
      </w:r>
    </w:p>
    <w:p>
      <w:r>
        <w:t>FR: ZH_SOZIALVERSICHERUNGSGERICHT IV.2021.00643 du 22 novembre 2022</w:t>
      </w:r>
    </w:p>
    <w:p>
      <w:r>
        <w:t>IT: ZH_SOZIALVERSICHERUNGSGERICHT IV.2021.00643 del 22 novembre 2022</w:t>
      </w:r>
    </w:p>
    <w:p>
      <w:pPr>
        <w:pStyle w:val="Heading2"/>
      </w:pPr>
      <w:r>
        <w:t>Erwägungen</w:t>
      </w:r>
    </w:p>
    <w:p>
      <w:r>
        <w:rPr>
          <w:b/>
        </w:rPr>
        <w:t>E. 1.1</w:t>
      </w:r>
    </w:p>
    <w:p>
      <w:r>
        <w:t>Die Beschwerdeführer in machte in der Eingabe vom 29. Oktober 2021 (Urk. 1 S. 2) im Hinblick auf ihre Beschwerdelegitimation geltend, sie richte dem Beige ladenen seit dem 29. Januar 2021 Berufsinvalidenleistungen nach Massgabe eine s Invaliditätsgrades von 100 % aus ( vgl. Urk. 3/17). Durch die aus ihrer Sicht bundesrechtswidrige Leistungsablehnung der Beschwerdegegnerin habe sie dem Beigeladenen, der sich im März 2019 pflichtgemäss bei der Beschwerdegegnerin zum Leistungsbezug angemeldet habe, Überbrückungsleistungen zur Invaliden rente gemäss Art. 44 des Vorsorgereglements (gültig ab 1. Januar 2021; vgl. Urk. 3/1) zu erbri ngen und gehe ihres direkte n Rückforderungsrecht s gegen über der Beschwerdegegnerin verlustig. Ebenso wenig könne sie die dem Beige ladenen ihrer Meinung nach zustehenden Invalidenleistungen der Eidgenössi schen Invalidenversicherung (IV) im Rahmen der Überentschädigungsberechnung berücksichtigen ( vgl. Art. 77 des Vorsorgereglements, Urk. 3/1). Da die rentenabweisende Verfügung der Beschwerdegegnerin (Urk.</w:t>
      </w:r>
    </w:p>
    <w:p>
      <w:r>
        <w:t>2) keine Bin dungswirkung für die Beschwerdeführerin entfaltet (vgl. BGE 115 V 208, 118 V 39), fehlt es insoweit an einem Berührtsein und an einem schutzwürdigen Inte resse an der Aufhebung oder Änderung der angefochtenen Verfügung. Der Ent scheid der Beschwerdegegnerin entfaltet in casu</w:t>
      </w:r>
    </w:p>
    <w:p>
      <w:r>
        <w:t>jedoch zumindest betreffend die Überbrückungsleistungen Auswirkun gen auf die Vorsorgeeinrichtung (vgl. die Urteile des hiesigen Gerichts IV.2014.00406 vom 24. April 2015 E. 2 und IV.2015.00108 vom 1. Dezember 2015 E. 2). Damit ist die Beschwerdeführerin durch die abweisende Rentenverfügung unmittelbar berührt und zur Beschwerde legitimiert (Art. 59 ATSG). Auf die Beschwerde ist somit einzutreten. Aufgrund des Gesagten kann offenbleiben, ob eine Beschwerdelegitimation der Vorsorgeeinrichtung auch bereits aufgrund einer allenfalls entgangenen Kür zungsmöglichkeit zufolge Überentschädigung – in analoger Anwendung der bun desgerichtlichen Rechtsprechung betreffend die Unfallversicherung – zu bejahen wäre. Gemäss BGE 134 V 153</w:t>
      </w:r>
    </w:p>
    <w:p>
      <w:r>
        <w:t>ist die Vorsorgeeinrichtung, welche der versicherten Person eine Invalidenrente auszurichten hat, auf Grund ihrer nachrangigen Leis tungspflicht und de r Kürzungsmöglichkeit nach Art. 24 f. der Verordnung über die berufliche Alters-, Hinterlassenen- und Invalidenvorsorge ( B VV 2 ) durch den Rentenentscheid des Unfallversicherers berührt und damit legitimiert, diesen zu Gunsten der versicherten Person durch Beschwerde beim kan tonalen Gericht anzufechten ( Regeste ). Diese Rechtsprechung ist in der Literatur jedoch nicht unumstritten. Bisweilen wird sie als wenig überzeugend kritisiert , weil sie eine weitgehend unbeschränkte Beschwerdebefugnis anderer Sozialver sicherungsträ ger nach sich zieht (Kieser, ATSG-Kommentar, 4. Aufl., 2020, N 55 zu Art. 59).</w:t>
      </w:r>
    </w:p>
    <w:p>
      <w:r>
        <w:rPr>
          <w:b/>
        </w:rPr>
        <w:t>E. 1.2</w:t>
      </w:r>
    </w:p>
    <w:p>
      <w:r>
        <w:t>Den nachstehenden Erwägungen ist vorauszuschicken, dass die in Neuanmel dungsver fahren grundsätzlich zu prüfende Frage, ob e ine für den Rentenanspruch rele van te Änderung in den gesundheitli chen ode r erwerblichen Grundlagen ein ge treten ist, vorliegend entfallen muss, da in der Verfügung vom 8. Oktober 2010 eine materielle Prüfung des Sachverhalts entfiel, war der Beigeladene doch vor Ablauf der einjährigen Wartefrist bereits wieder zu 100 % arbeitsfähig (Urk. 8/24).</w:t>
      </w:r>
    </w:p>
    <w:p>
      <w:r>
        <w:rPr>
          <w:b/>
        </w:rPr>
        <w:t>E. 1.3</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 bergangsrechtlicher Rege lungen – grundsätzlich diejenigen Rechtssätze massgebend, die bei Erfüllung des rechtlich zu ordnenden oder zu Rechtsfolgen führenden Tatbestandes Geltung haben (BGE 146 V 364 E. 7.1, 144 V 210 E. 4.3.1, je mit Hinweisen). Da die an gefochtene Verfügung vor dem 1. Januar 2022 erging, sind vorliegend die bis 31. Dezember 2021 gültig gewesenen Rechtsvorschriften anwendbar, die nach folgend auch in dieser Fassung zitiert werden (BGE 148 V 174 E. 4.1).</w:t>
      </w:r>
    </w:p>
    <w:p>
      <w:r>
        <w:rPr>
          <w:b/>
        </w:rPr>
        <w:t>E. 1.4</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1.5</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1.7</w:t>
      </w:r>
    </w:p>
    <w:p>
      <w:r>
        <w:t>). Eine Verletzung der Untersu chungspflicht ist daher zu verneinen. 5.</w:t>
      </w:r>
    </w:p>
    <w:p>
      <w:r>
        <w:t>Die vorstehenden Erwägungen führen zur Abweisung der Beschwerde. 6.</w:t>
      </w:r>
    </w:p>
    <w:p>
      <w:r>
        <w:t>Da die Bewilligung oder Verweigerung von Versicherungsleistungen zu beurtei len war, ist das Verfahren kostenpflichtig. Die Gerichtskosten sind nach dem Ver fahrensaufwand und unabhängig vom Streitwert im Rahmen von Fr. 200.-- bis Fr. 1'000.-- festzulegen (Art. 69 Abs. 1 bis IVG). Sie sind ermessensweise auf Fr. 800.-- anzusetzen und ausgangsgemäss der unterliegenden Beschwerdeführe 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BVK Personalvorsorge des Kantons Zürich - Sozialversicherungsanstalt des Kantons Zürich, IV-Stelle - X.___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Grieder-MartensTiefenbacher</w:t>
      </w:r>
    </w:p>
    <w:p>
      <w:r>
        <w:rPr>
          <w:b/>
        </w:rPr>
        <w:t>E. 6</w:t>
      </w:r>
    </w:p>
    <w:p>
      <w:r>
        <w:t>. Mai 2010 bei der Sozialversi cherungsan stalt des Kantons Zürich, IV-Stelle, unter dem Hinweis auf eine seit 2000 beste hende depressive Symptomatik und eine seit August 2009 bestehende 50%ige Arbeitsunfähigkeit zum Leistungsbezug (Massnahmen für die berufliche Einglie derung)</w:t>
      </w:r>
    </w:p>
    <w:p>
      <w:r>
        <w:t>an (Urk. 8/ 2 ). Die IV-Stelle klärte die medizinische und erwerb liche S itu ation und wies das Leistungsg esuch mit Verfügung vom 8. Oktober 2010 ab (Urk. 8/24) , da der Versicherte ab dem 10. Mai 2010 wieder zu 100</w:t>
      </w:r>
    </w:p>
    <w:p>
      <w:r>
        <w:t>% arbeits fähig war und ab diesem Zeitpunkt wieder ein volles Arbeitspensum absolvierte ( vgl. auch Urk. 8/11, Urk. 8/19 f.).</w:t>
      </w:r>
    </w:p>
    <w:p>
      <w:r>
        <w:rPr>
          <w:b/>
        </w:rPr>
        <w:t>E. 9</w:t>
      </w:r>
    </w:p>
    <w:p>
      <w:r>
        <w:t>V 547 E. 5.2, 127 V 294 E. 4c; vgl. Art. 7 Abs. 2 ATSG). Auch im Rahmen von BGE 141 V 281 gilt der Grundsatz, wonach das Inva liden versicherungsrecht soziale Faktoren so weit ausklammert, als es darum geht, die für die Einschätzung der Arbeitsunfähigkeit kausalen versicherten Faktoren zu umschreiben. Die funktionellen Folgen von Gesundheitsschädigungen werden hingegen auch mit Blick auf psychosoziale und soziokulturelle Belastungsfak to ren abgeschätzt, welche den Wirkungsgrad der Folgen einer Gesundheits schädi gung beeinflussen. Soweit soziale Belastungen direkt negative funktionelle Fol gen zeitigen, bleiben sie nach wie vor ausgeklammert. Psychosoziale Belastungs faktoren können jedoch mittelbar zur Invalidität beitragen, wenn und soweit sie zu einer ausgewiesenen Beeinträchtigung der psychischen Integrität als solcher führen, welche ihrerseits eine Einschränkung der Arbeitsfähigkeit b ewirkt, wenn sie einen verselb ständigten Gesundheitsschaden aufrechterhalten oder den Wir kungsgrad seiner – unabhängig von den invalidität sfremden Elementen beste henden – Folgen verschlimmern ( Urteil des Bundesgerichts 9C_10/2021 vom 15. Juni 2021 E. 3.3.1 mit Hinweisen ). 1 .6</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12</w:t>
      </w:r>
    </w:p>
    <w:p>
      <w:r>
        <w:t>Ziff. 5 ). Dies stand im Ein klang mit der telefonischen Fremdauskunft des behandelnde n Psychiater s Dr. med. H.___ , Oberarzt Sanatorium F.___ , vom 22. Oktober 2020 (Urk. 8/75 S. 10 f.). 4. 2 .3</w:t>
      </w:r>
    </w:p>
    <w:p>
      <w:r>
        <w:t>Im weiteren Verlauf traten wieder neue Belastungsfaktoren hinzu. Das Arbeits verhältnis des Beigeladenen wurde im Januar 2021 invaliditätsbedingt aufgelöst ( vgl. Urk. 8/70, Urk. 8/79 und Urk. 3/17). Seiner Eingabe vom 10. März 2022 an das hiesige Gericht (Urk. 1 2 ) lässt sich zudem entnehmen, dass a m Bezirksgericht Zürich ein Strafverfahren gegen ihn geführt worden sei , welches im Hauptankla gepunkt «Nötigung» eingestellt worden sei. Die Verhandlung betreffend Ehe schutzmassnahmen/Getrenntleben sei am 4. Februar 2022 durchgeführt worden. Weiter erwähnte der Beigeladene den Begriff «häusliche Gewalt» und dass eine Konvention betreffend die Nutzung seiner Liegenschaften an der I.___ und J.___ in K.___ unterzeichnet worden sei (Anmerkung des Gerichts: An der I.___ betreibt die Ehefrau des Beigeladenen ein Bed&amp;Breakfast ; vgl. Urk. 8/73 S. 12). Er selbst wohne an einer neuen Adresse (gemäss seiner Adressänderungsanzeige vom 13. Dezember 2021 erfolgte die Adressänderung am 1. November 2021 ; Urk. 6). 4. 3</w:t>
      </w:r>
    </w:p>
    <w:p>
      <w:r>
        <w:t>Das vorstehend Gesagte ve ranschaulicht , dass</w:t>
      </w:r>
    </w:p>
    <w:p>
      <w:r>
        <w:t>beim Beigeladenen massive psy chosoziale Belastungsfaktoren bestehen, welche jeweils unmittelbar negative funktionelle Folgen zeitigen . Ebenso tre ten Remissionen ganz plötzlich auf (vgl. Urk. 8/9 S. 2 und Urk. 8/73 S. 22 ) . Es ist daher festzuhalten, dass die gut behan delbare depressive Symptomatik deutl ich psychosozial überlagert ist, und dass d ie psychosozialen B elastungsfaktoren aus zuklammern sind .</w:t>
      </w:r>
    </w:p>
    <w:p>
      <w:r>
        <w:t>4. 4</w:t>
      </w:r>
    </w:p>
    <w:p>
      <w:r>
        <w:t>Daran ände rt auch der Bericht von Dr. B.___ vom 22. Juni 2021 nichts (Urk. 8/97). Soweit die Beschwerd eführerin aus der von ihm</w:t>
      </w:r>
    </w:p>
    <w:p>
      <w:r>
        <w:t>gestellten D iagnose einer Persönlichkeitsstörung abzuleiten versucht , das Krankheitsbild des Beigela denen habe sich weiter ausgebildet und damit sei es zu einer weiteren Verschlech terung gekommen (Urk. 1 S. 14 Rz 41), kann ihr nicht beigepflichtet werden. Dr. B.___ stellte zwar im Juni 2021 erstmals die Diagnose einer kombi nierte n Persönlichkeitsstörung mit emotional instabilen und verm eidenden Zügen, doch handelt e es sich dabei um eine andere Beurteilung eines unverän derten S achverhalts, hatte Dr. Z.___ im Gutachten vom 16. März 2020 das Vorliegen einer Persönlichkeitsstö rung doch klarerweise verneint. Sie hielt zur im Austrittsbericht der Nach t klinik D.___</w:t>
      </w:r>
    </w:p>
    <w:p>
      <w:r>
        <w:t>vom 25. November 2019 gestellten Verdachtsdiagnose einer kombinierten Persönlichkeitsstörung mit emotional instabilen und asthenischen Zügen (ICD-10: F61.0; vgl. Urk. 8/74 S. 3) fest , diese Diagnose sei nicht konkret begründet worden. Unter Berücksichtigung des episo dischen Verlaufs der Erkrankung mit guter Funktionsfähigkeit und Lebensqualität ausserhalb der depressiven Episoden gehe sie, w ie bereits im Gutachten vom 27. Oktober 2019 festgehalten, weiterhin davon aus, dass die erwähnten Verhal tens- und Erlebnisweisen des Beigeladenen im biografischen Kontext nachvoll ziehbare Persönlichkeitscharakteristika seien, die ihn zwar prägten, jedoch im Längsverlauf nicht so stark ausgeprägt seien und seine Funktionsfähigkeit nicht so stark einschränkten, dass die Diagnose einer Persönlichkeitsst örung gerecht fertigt wäre (Urk. 8/74 S. 12 f. Ziff. 7.1 ). Diese Einschätzung vermag zu überzeu gen . Persönlichkeitsstörungen beginnen immer in der Kindheit oder Jugend und manifestieren sich auf Dauer im Erwachsenenalter (vgl. die klinisch-diagnosti schen Leitlinien der Internationalen Klassifikation psychischer Gesundheitsstö rungen der Weltgesundheitsorganisation, ICD-10 Kapitel V [F], Dil ling / Mom bour /Schmidt [Herausgeber], 10. Auflage, Bern 2015, S. 276 f.). Ange sichts fehlender Auffälligkeiten in der Entwicklung des Beigeladenen im Kindes- und Jugendalter (der Beigeladene beschrieb seine frühkindliche Entwicklung als unauffällig; in der Schule habe er weder leistungsmässig noch im sozialen Bereich Probleme gehabt ; vgl. das Gutachten von Dr. Z.___ vom 29. Oktober 2019, U rk. 8/73 S. 11 Ziff. 4.2 ) lässt sich die Diagnose einer Persönlichkeitsstörung somit nicht na chvollziehen, mangelt es doch an einem wesentlichen Diagnose kriterium . Die Begründung von D r. B.___ , ein derartiges Störungsbild könne lange kompensiert vorliegen und dürfte sich beim Beigeladenen spätestens ab seinem 30. Geburtstag (erstmals beschriebene depressive Episode) in Form depressiver Entgleisungen klinisch gezeigt haben (Urk. 8/97 S. 3), stellt eine blosse Mutmassung dar.</w:t>
      </w:r>
    </w:p>
    <w:p>
      <w:r>
        <w:t>4. 5</w:t>
      </w:r>
    </w:p>
    <w:p>
      <w:r>
        <w:t>Nach Gesagtem ist e in anspruchserheblicher Gesundheitsschaden nicht mit dem Beweismass der überwiegenden W ahrscheinlichkeit ausgewiesen. Dass die RAD-Ärztin den Beigeladenen selbst nicht untersuchte, schadet zudem nicht . Es lag aufgrund der vorhandenen Berichte der behandelnden Ärzte sowie der drei aus führlichen Gutachten von Dr. Z.___ ein lückenloser Befund vor, und es ging im Wesentlichen nur um die fachärztliche Beurteilung eines bereits hinreichen d</w:t>
      </w:r>
    </w:p>
    <w:p>
      <w:r>
        <w:t>feststehenden medizinischen Sachverhalts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