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IV.2021.00618 vom 2. August 2022</w:t>
      </w:r>
    </w:p>
    <w:p>
      <w:r>
        <w:t>ZH Sozialversicherungsgericht, 2022-08-02, DE</w:t>
      </w:r>
    </w:p>
    <w:p>
      <w:r>
        <w:rPr>
          <w:b/>
        </w:rPr>
        <w:t xml:space="preserve">Quelle: </w:t>
      </w:r>
      <w:r>
        <w:t>https://mcp.opencaselaw.ch/entscheid/zh_sozialversicherungsgericht_IV.2021.00618</w:t>
      </w:r>
    </w:p>
    <w:p>
      <w:r>
        <w:t>FR: ZH_SOZIALVERSICHERUNGSGERICHT IV.2021.00618 du 2 août 2022</w:t>
      </w:r>
    </w:p>
    <w:p>
      <w:r>
        <w:t>IT: ZH_SOZIALVERSICHERUNGSGERICHT IV.2021.00618 del 2 agosto 2022</w:t>
      </w:r>
    </w:p>
    <w:p>
      <w:pPr>
        <w:pStyle w:val="Heading2"/>
      </w:pPr>
      <w:r>
        <w:t>Erwägungen</w:t>
      </w:r>
    </w:p>
    <w:p>
      <w:r>
        <w:rPr>
          <w:b/>
        </w:rPr>
        <w:t>E. 1.1</w:t>
      </w:r>
    </w:p>
    <w:p>
      <w:r>
        <w:t>Am 1. Januar 2022 sind die geänderten Bestimmun gen des Bundesgesetzes über den Allgemeinen Teil des Sozialversicherungsrechts (ATSG), der Verordnung über den Allgemeinen Teil des Sozialversicherungsrechts (ATSV), des Bundesgesetzes über die Invalidenversicherung (IVG) sowie der Ver 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 windbar ist (Art. 7 Abs. 2 ATSG).</w:t>
      </w:r>
    </w:p>
    <w:p>
      <w:r>
        <w:rPr>
          <w:b/>
        </w:rPr>
        <w:t>E. 1.3</w:t>
      </w:r>
    </w:p>
    <w:p>
      <w:r>
        <w:t>Anspruch auf eine Rente haben gemäss Art.</w:t>
      </w:r>
    </w:p>
    <w:p>
      <w:r>
        <w:t>28 Abs.</w:t>
      </w:r>
    </w:p>
    <w:p>
      <w:r>
        <w:t>1 IVG Versicherte, die: a.</w:t>
      </w:r>
    </w:p>
    <w:p>
      <w:r>
        <w:t>ihre Erwerbsfähigkeit oder die Fähigkeit, sich im Aufgabenbereich zu be 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Dagegen erhob die Versicherte mit Eingabe vom 18. Oktober 2021 Beschwerde und beantragte die Aufhebung der angefochtenen Verfügung sowie die Zuspra che einer ganzen Invalidenrente, eventualiter sei die Sache zu weiteren Abklä rungen an die Beschwerdegegnerin zurückzuweisen, subeventualiter sei eine Dreiviertels rente zuzusprechen, unter Kosten- und Entschädigungsfolgen zu Lasten der Beschwerdegegnerin (Urk. 1). Die IV-Stelle schloss mit Beschwerde antwort vom 25. November 2021 auf Abweisung der Beschwerde (Urk. 6), worüber die Be schwerdeführerin mit Verfügung vom 26. November 2021 in Kenntnis gesetzt wurde (Urk. 9). Das Gericht zieht in Erwägung: 1.</w:t>
      </w:r>
    </w:p>
    <w:p>
      <w:r>
        <w:rPr>
          <w:b/>
        </w:rPr>
        <w:t>E. 2.1</w:t>
      </w:r>
    </w:p>
    <w:p>
      <w:r>
        <w:t>Die IV-Stelle erwog in der angefochtenen Verfügung, die Beschwerdeführerin habe eine Ausbildung zur Pflegefachfrau, Ärztehelferin und Bürokauffrau absol viert. Obwohl ihr aus medizinischer Sicht ihre bisherige Tätigkeit als Pflegefach frau nicht mehr zumut bar sei, sei ihr eine dem Belastungsprofil angepasste Tätigkeit zu 80 % zumutbar. Während des laufenden Verfahrens habe sie eine Tätigkeit als Pflegefach frau aufgenommen , weshalb</w:t>
      </w:r>
    </w:p>
    <w:p>
      <w:r>
        <w:t>die Verwertbarkeit der Rest arbeitsfähigkeit , ungeachtet ihres Alters, ange sichts ihrer Ausbildungen , ihrer Berufserfahrung sowie ihre r Flexibilität im Hin blick auf die Aufnahme einer neuen Tätigkeit zu bejahen sei . Der Einkommensvergleich habe einen Invalidi tätsgrad von 49 % ergeben , wes halb Anspruch auf eine Viertelsrente bestehe (Urk. 2).</w:t>
      </w:r>
    </w:p>
    <w:p>
      <w:r>
        <w:rPr>
          <w:b/>
        </w:rPr>
        <w:t>E. 2.2</w:t>
      </w:r>
    </w:p>
    <w:p>
      <w:r>
        <w:t>Demgegenüber brachte die Beschwerdeführerin vor, die IV-Stelle habe sich zu Unrecht auf die Beurteilung des Regionalen Ärztlichen Dienstes (RAD) gestützt. Der zuständige Arzt des RAD habe das im Auftrag der Helsana eingeholte psy chia trische Gutachten als beweiskräftig erachtet , obwohl dieses die Vorgaben hin sichtlich der Indikatorenprüfung nicht erfülle und folglich unter einem schweren Beweisman gel leide. Ebenso wenig überzeugten die verschiedenen Ausführungen des RAD-Arztes hinsichtlich der Arbeitsfähigkeit in einer angepassten Tätigkeit, welche er zunächst auf 50 % festgesetzt, dies jedoch später revidiert und ihr eine vollstän dige Arbeitsfähigkeit mit vermindertem Rendeme nt von 20 % attestiert habe. Be gründet habe er dies mit der Aufnahme eines Arbeitsverhältnisses während des laufenden Verfahrens, obwohl sie bereits kurz na ch Beginn dieses Arbeitsverhält nisses im Januar 2020 erneut krankgeschrieben worden und dieser Krankschrei bung weitere gefolgt seien. Auf die Einschätzung des RAD-Arztes könne daher nicht abgestellt werden. Dies zeige sich auch darin, dass der Ver trauensarzt des zuständigen Krankentaggeldversicherers (AXA Versicherungen AG, nachfolgend: AXA) eine vollständige Arbeitsunfähigkeit sowohl in der angestammten als auch in einer angepassten Tätigkeit als plausibel erachte t habe. Bei ihrem polymorbiden Beschwerdebild wäre es zudem angezeigt gewesen, eine polydisziplinäre Begutachtung zu veranlassen. Dass die IV-Stelle dies unterlassen habe, stelle eine Verletzung des Untersuchungsgrundsatzes dar. Hinzu komme, dass eine allfällig vorhandene Restarbeitsfähigkeit sowieso nicht mehr verwertbar wäre. Zwar verfüge sie über drei verschiedene Ausbildungen (Pflegefach frau/Arzthelferin/Bürokauffrau). Indes sei ihr die angestammte Tätigkeit als Pfle ge fachfrau nicht mehr zumutbar, ihre Tätigkeit als Bürokauffrau habe sie seit Jahren nicht mehr ausgeübt und würde eine Umstellung bedingen, die ihr auf grund der kurzen Restaktivitätsdauer nicht zumutbar sei. Sie habe daher Anspruch auf eine ganze Rente der Invalidenversicherung ( Urk. 1). 3. 3.1</w:t>
      </w:r>
    </w:p>
    <w:p>
      <w:r>
        <w:t>Der Gesundheitszustand der Beschwerdeführerin ergibt sich im Wesentlichen aus den folgenden medizinischen Unterlagen: 3.2</w:t>
      </w:r>
    </w:p>
    <w:p>
      <w:r>
        <w:t>Der ehemalige Hausarzt der Beschwerdeführerin, Dr. med. Y.___ , Praktischer Arzt, Z.___ Ambulatorium A.___ , führte im ärztlichen Zwi schenbericht vom 27. März 2018 zuhanden der Helsana (Urk. 7/118 S. 3-5) als Diagnosen eine Erschöpfungsdepression mit schweren Schlafstörungen (ICD-10: F32.9), ein hyperkinetisches Herzsyndrom (ICD-10: I51.8), eine Sarkoidose (ICD-10: D86.2), eine Harninkontinenz (ICD-10: N39.48) sowie eine kombinierte und andere Persönlichkeitsstörung (ICD-10: F61.0) auf und verwies dabei auf me dizi nische Akten aus den Jahren 2005 bis 201 4. Er attestierte der Beschwerde führerin eine vollständige Arbeitsunfähigkeit in der angestammten und in einer ange passten Tätigkeit. 3.3</w:t>
      </w:r>
    </w:p>
    <w:p>
      <w:r>
        <w:t>Dr. med. B.___ , Facharzt für Augenheilkunde und Augenchirurgie, Augenklinik C.___ , nannte in seinem Bericht vom 20. August 2018 (Urk. 7/113) als Diagnosen eine epiretinale</w:t>
      </w:r>
    </w:p>
    <w:p>
      <w:r>
        <w:t>Fibroplasie (ERF), eine Cornea guttata sowie eine</w:t>
      </w:r>
    </w:p>
    <w:p>
      <w:r>
        <w:t>Cataracta</w:t>
      </w:r>
    </w:p>
    <w:p>
      <w:r>
        <w:t>senilis</w:t>
      </w:r>
    </w:p>
    <w:p>
      <w:r>
        <w:t>incipiens und empfahl der Beschwerdeführerin bei Zunahme der Beschwerden ein operatives Vorgehen. In seinem Bericht vom 3. September 2018 (Urk. 7/119) führte er zudem ein Pigmentdispersionssyndrom (PDS) auf, überdies am rechten Auge einen Verdacht auf Status nach Iritis (im Jahr 2010) sowie im Orthoptikstatus eine leichte Hypophorie und Esophorie mit intermittierenden Doppelbildern, welche durch Prismen nicht korrigierbar sei en . Dr. B.___ führte aus, diese Sehbeschwerden würden subjektiv als sehr gravierend wahrgenommen und beeinträchtigten die Arbeitsfähigkeit enorm, zurzeit gebe es jedoch keine Möglichkeit, durch einen operativen Eingriff die Probleme ent schei dend zu verbessern, woran er auch im Bericht vom 27. März 2019 festhielt (Urk. 7/182). Auf Rückfrage der Helsana hin hielt Dr. B.___ am 13. September 2018 (Urk. 7/177) überdies fest, aufgrund der Schilderungen durch die Beschwer deführerin und den erhobenen Befunden gehe er von einer 50%igen Arbeits fähig keit in der angestammten Tätigkeit aus, wobei aus augenärztlicher Sicht Tätig keiten ohne hohe visuelle Anforderungen im Umfang von 100 % möglich seien. 3.4</w:t>
      </w:r>
    </w:p>
    <w:p>
      <w:r>
        <w:t>Dr. med. D.___ , Facharzt für Psychiatrie und Psychotherapie, diagnosti zierte in seinem psychiatrischen Gutachten vom 29. August 2018 zuhanden der Helsana (Urk. 7/118 S. 39-56) eine kombinierte Persönlichkeitsstörung (ICD-10: F61.0) anankastischer , histrionischer , laut fremd-anamnestischen Angaben wohl auch abhängiger Ausrichtung und hielt fest, aus psychiatrischer Sicht lägen bei der Beschwerdeführerin keine Einschränkungen bei der Ausübung ihrer ange stammten Tätigkeit vor. Subjektiv fühle sie sich dur ch ihre Augenbeschwerden und die sich daraus ergebenden Fehler eingeschränkt. Inwiefern dies objektiv der Fall sei, müsse durch einen entsprechenden somatischen Kollegen beurteilt wer den (S. 55). Im Nachgang zum Gutachten hielt Dr. med. E.___ , Leiter Ver trauensärztlicher Dienst der Helsana, am 12. November 2018 (Urk. 7/155) nach Rücksprache mit Dr. D.___ fest, das Gutachten sei umfassend, beruhe auf den Kenntnissen der Vorakten und der Anamnese, die Schlussfolgerungen seien begründet. Die Einwände der Beschwerdeführerin würden sich als nicht relevant für die Schlussbeurteilung erweisen, weshalb sich ein erneutes psychiatrisches Gutachten erübrige. 3.5</w:t>
      </w:r>
    </w:p>
    <w:p>
      <w:r>
        <w:t>Dem Austrittsbericht der Schmerzklinik F.___ AG vom 19. Dezember 2018 (Urk. 7/145) ist folgende</w:t>
      </w:r>
    </w:p>
    <w:p>
      <w:r>
        <w:t>Hauptd iagnose zu entnehmen: - Chronische Schmerzstörung mit somatischen und psychischen Anteilen (ICD-10: F45.41) mit/bei - posttraumatisch er Belastungsstörung mit fluktu ierender, depressiver Symptomatik im Sinne einer Anpassungsstörung (ICD-10: F43) - akzentuierten Persönlichkeitszügen (zwanghaft histrionisch )</w:t>
      </w:r>
    </w:p>
    <w:p>
      <w:r>
        <w:t>Als Nebendiagnosen wurden die folgenden aufgeführt: - Panvertebralsyndrom mit Hyperkyphose der BWS, Hyperlordose der LWS mit/bei ausgeprägter muskulärer Insuffizie nz / Dysbalance - Zerv i kospondylogenes Schmerzsyndrom mit angedeuteter Anterolisthese HWK 5 mit relativer Hypermobilität in den darüber und darunterliegenden Anschlusssegmenten - Ausgeprägte kraniomandibuläre Dysfunktion mit anteriorer Diskusluxa tion im Bereich des linken Kiefergelenks - Iliosakralgelenk -Syndrom beidseits - Chronischer Kopfschmerz - Sehstörungen, besonders bei beidäugigem Sehen mit Zustand nach Uveitis 2003 und 2008 - Epiretinale</w:t>
      </w:r>
    </w:p>
    <w:p>
      <w:r>
        <w:t>Fibroplasie - Pigmentdispersionssyndrom - Cataracta</w:t>
      </w:r>
    </w:p>
    <w:p>
      <w:r>
        <w:t>senilis</w:t>
      </w:r>
    </w:p>
    <w:p>
      <w:r>
        <w:t>incipiens - Hashimoto-Thyreoiditis (ohne Thyroxin-Substitution) - Doppelniere rechts, Nierenaplasie links - Zysto - und Rektozele mit Mischinkontinenz Grad II-III sowie periklitorale Dysplasie bei Zustand nach gynäkologischer Operation 1993 (Versuch, den Uterus bei Retroflexio aufzurichten) - Zustand nach chronischer Bronchitis 1981 mit bronchoskopischer Biopsie und Zeichen einer chronischen Entzündung (Kommentar damals: Morbus Boeck nicht ausgeschlossen) - Erythema migrans oberhalb der linken Ferse 2013 - Sinustachykardie 2010</w:t>
      </w:r>
    </w:p>
    <w:p>
      <w:r>
        <w:t>Dr. med. G.___ , Facharzt für Orthopädische Chirurgie und Traumato lo gie des Bewegungsapparates, und Dr. med. H.___ , Facharzt für Anäs thesiologie, berichteten über eine deutliche Verbesserung der Schmerzen im Ver lauf des stationären Aufenthaltes, so dass die Beschwerdeführerin in gebesser tem Allgemeinzustand habe nach Hause entlassen werden können.</w:t>
      </w:r>
    </w:p>
    <w:p>
      <w:r>
        <w:t>Hinsichtlich der Arbeitsfähigkeit der Beschwerdeführerin hielt Dr. G.___ am 6. Juni 2019 (Urk. 7/197) fest, von 18. März 2019 bis 31. März 2019 bestehe eine vollständige Arbeits un fähigkeit, ab 1. April 2019 sei die Patientin zu 50</w:t>
      </w:r>
    </w:p>
    <w:p>
      <w:r>
        <w:t>% arbeitsfähig , wobei dies für eine leichte körperliche Tätigkeit mit Tragen von maximal fünf Kilogramm und ohne Überkopfarbeit sowie ohne Nachtdienste gelte. 3.6</w:t>
      </w:r>
    </w:p>
    <w:p>
      <w:r>
        <w:t>Dr. med. I.___ , Facharzt für Allgemeine Innere Medizin und Endo krinologie-Diabetologie, Gemeinschaftspraxis für Hormonerkrankungen und Dia betes, führte im Bericht vom 9. Februar 2019 (Urk. 7/152) aus, die Struma multinodosa mit Grössenprogredienz im Verlauf werde mit einer Substitutions therapie behandelt; unter der konsequenten Therapie sei mit einem günstigen Einfluss auf die Schilddrüsensituation zu rechnen.</w:t>
      </w:r>
    </w:p>
    <w:p>
      <w:r>
        <w:t>Ergänzend hielt er am 11. September 2019 (Urk. 7/212) fest, in der aktuellen Ver laufskontrolle zeige sich ein guter Therapieerfolg , was er in den Berichten vom 4. September 2020 (Urk. 7/242) und vom 2. März 2021 (Urk. 7/284) bestätigte. 3.7</w:t>
      </w:r>
    </w:p>
    <w:p>
      <w:r>
        <w:t>Prof. Dr. med. J.___ , Fachärztin Ophthalmologie, Praktische Ärztin, stellte in ihrem Bericht vom 26. März 2019 (Urk. 7/179) die Diagnosen einer epi retinalen</w:t>
      </w:r>
    </w:p>
    <w:p>
      <w:r>
        <w:t>Gliose beidseits mit Verziehung von geraden Linien, einer binocularen Diplopie ohne Einstellbewegung, einer Myopie und eines myoper Astigmatismus , einer Cataracta</w:t>
      </w:r>
    </w:p>
    <w:p>
      <w:r>
        <w:t>incipiens sowie einer Cornea guttata und merkte an , aufgrund der berichteten Beschwerden wäre eine chirurgische Intervention zwecks Verbesse rung der Symptome zu überlegen.</w:t>
      </w:r>
    </w:p>
    <w:p>
      <w:r>
        <w:t>Am 6. Mai 2019 (Urk. 7/198) führte sie überdies aus, die binoculare Doppelbild situation sei mit den ihr zur Verfügung stehenden Methoden nicht verifizierbar. Die Beschwerdeführerin sei emotional stark beeinträchtigt, reagiere indes auf den Hinweis, dass sie aufgrund der Doppelbilder kein Auto lenken könne, mit der Aussage, dass sie diese im Alltag eigentlich nicht störten. Im angestammten Beruf sei von Tätigkeiten abzuraten, welche durch falsches Ablesen zu einer Medika mentenfehldosierung führen könnten; sie könne indes sicher eine angepasste Tätigkeit ausüben. 3.8</w:t>
      </w:r>
    </w:p>
    <w:p>
      <w:r>
        <w:t>Dipl. Ärztin K.___ , Fachärztin für Oto - Rhino -Laryngologie, Praxis L.___ , diagnostizierte anlässlich ihrer Untersuchung vom 30. Oktober 2019 im Bericht vom 1. November 2019 (Urk. 7/220) einen laryngo pharnygealen Reflux sowie als Dauerdiagnosen eine Hashimoto- Thyreoditis so wie einen Bruxismus und empfahl das Fortführen der bisherigen Behandlung mit Ölziehen , Omega 7 Sanddorn Argouisier , Coldistop sowie Nasumel .</w:t>
      </w:r>
    </w:p>
    <w:p>
      <w:r>
        <w:t>Im Bericht vom 2. September 2020 (Urk. 7/241) diagnostizierte Dipl. Ärztin K.___ zudem eine chronische Tubenventilationsstörung linksbetont und hielt fest, eine Kontrolle sei vorerst nicht vorgesehen. 3.9</w:t>
      </w:r>
    </w:p>
    <w:p>
      <w:r>
        <w:t>Im Bericht vom 4. Dezember 2019 (Urk. 7/223 S. 6 f.) stellten Prof. Dr. med. M.___ , Facharzt für Neurologie, sowie med. pract . N.___ , Neurozentrum O.___ , die Diagnose « pseudoradikuläre Schmerzen des Schul ter gürtels linksbetont» und führten aus, die durch eine chiropraktische Behand lung ausgelösten brachiocruralen Parästhesien seien gemäss der Beschwerdefüh rerin innerhalb einer Woche komplett rückläufig gewesen. Weder klinisch noch MR-tomografisch hätten sich Hinweise auf eine Myelopathie gezeigt, insgesamt be stünde auch kein Anhalt für eine neuropathische Genese der chronischen, deut lich linksbetonten Schmerzen im Bereich des Schultergürtels. Im MRI der HWS sei eine Irritation der C5-Wurzel beschrieben worden, allerdings sprächen der kli nische und der elektromyographische Befund gegen eine relevante Affektion die ser Wurzel. 3.10</w:t>
      </w:r>
    </w:p>
    <w:p>
      <w:r>
        <w:t>Dr. med. P.___ , Fachärztin für Neurologie, Neurologie Q.___ , stellte in ihrem Bericht vom 6. Mai 2020 (Urk. 7/230 S. 3-5) folgende Diagnosen: - Schmerzen linkes Handgelenk volar und Digitus I, a.e . aufgrund einer Rhizarthrose , klinisch und neurographisch kein Anhalt für ein Karpal tun nelsyndrom - Schmerzhafte Bewegungseinschränkung linke Schulter seit 2019 ohne Hinweis auf neurogene Ursache; MRI-Schulter am 19.12.2019: ausgepräg ter Reizzustand der Supraspinatus -Insertion und Bursa subakromialis / subdeltoidea mit Ödem und Enhancement am Tuberculus</w:t>
      </w:r>
    </w:p>
    <w:p>
      <w:r>
        <w:t>majus , Neuro graphie N. axillaris und EMR M. deltoideus links unauffällig - Zervikalgien bei degenerativen HWS-Veränderungen; MRI der HWS am 5.12.2019: aktivierte Spondylarthrose HWK 3/4 links mit Weichteilreak tion, geringe foraminale Einengung HWK 4/5 rechts durch Unkarthrose , keine Myelopathie, keine Nervenwurzelkompression</w:t>
      </w:r>
    </w:p>
    <w:p>
      <w:r>
        <w:t>Dr. P.___ führte aus , der objektivierbare neurologische Befund zeige keine sensomotorischen Defizite bei einer leichten schmerzbedingten Einschränkung der linken Schulter. Zur Einordnung der im MRI vom 19. Dezember 2019 festge stellten Einschränkungen werde eine schulterorthopädische Beurteilung empfoh len. Das MRI der HWS habe keine Nervenwurzelkompression gezeigt, allenfalls sei eine Irritation möglich, dies erkläre indes die linksseitige Symptomatik nicht. Hinsichtlich der Nackenschmerzen empfehle sie die Fortführung der Physiothe ra pie respektive bei Zunahme die Vorstellung in einem Wirbelsäulenzentrum. 3.11</w:t>
      </w:r>
    </w:p>
    <w:p>
      <w:r>
        <w:t>Im Bericht vom 10. November 2020 ( Urk. 7/252 S. 1-5), welchen die IV-Stelle nach einem Unfaller eignis am 21. Mai 2020 eingeholt hatte, führte die aktuelle Hausärztin der Be schwerdeführerin, Dr. med. univ. (A) R.___ , Prak tische Ärztin, Fachärztin für Allgemeine Innere Medizin sowie Physikalische Medizin und Re habilitation, Rheuma-Eisen-Zentrum, aus, bei der Beschwerde führerin lägen keine psychischen Erkrankungen vor. Als Diagnosen ohne Aus wirkung auf die Arbeitsfähigkeit hielt sie die folgenden fest: Panvertebral-Syndrom, Aggravie rung im Rahmen des Sturzes im Mai 2020, Epicond ylopathia</w:t>
      </w:r>
    </w:p>
    <w:p>
      <w:r>
        <w:t>humeri</w:t>
      </w:r>
    </w:p>
    <w:p>
      <w:r>
        <w:t>radialis beid seits, Rhizarthrose beidseits, Spreizfuss, Hallux</w:t>
      </w:r>
    </w:p>
    <w:p>
      <w:r>
        <w:t>valgus beid seits, Bruxismus, pseu doradikuläres Schmerzsyndrom am Schultergürtel links, Doppelbilder der Augen, Makuladegeneration , Cataract beidseitig . Sie legte dar, der Beschwerdeführerin sei eine 100%ige Tätigkeit als Pflegefachfrau nicht mehr möglich , da der Druck bei der Arbeit sehr gross sei und Belastungsstörungen zunähmen, jedoch seien ihr drei bis vier Stunden täglich mit vermehrten Pausen zumutbar. Eine ange passte Tätigkeit sei der Beschwerdeführerin im Umfang von vier bis fünf Stunden täglich allenfalls möglich.</w:t>
      </w:r>
    </w:p>
    <w:p>
      <w:r>
        <w:t>Ergänzend hielt Dr. R.___ in einem undatierten Schreiben an die IV-Stelle fest, die im Bericht vom 10. November 2020 aufgeführten Diagnosen seien ver sehentlich als ohne Auswirkung auf die Arbeitsfähigkeit bezeichnet worden; viel mehr hätten sämtliche dieser Diagnosen Auswirkung auf die Arbeitsfähigkeit (Urk. 7/309 S. 1-13). Im Arzt zeugnis zuhanden der AXA vom 5. Mai 2021 (Urk. 7/309 S. 16-18) attestierte sie der Beschwerdeführerin überdies eine voll ständige Arbeitsunfähigkeit sowohl in der angestammten wie auch in einer an ge passten Tätigkeit bis 31. Mai 2021. 3.12</w:t>
      </w:r>
    </w:p>
    <w:p>
      <w:r>
        <w:t>Prof. Dr. med. S.___ , Facharzt für Neuroophthalmologie und Neurologie, Spital T.___ , führte im Bericht vom 3. Februar 2021 (Urk. 7/276 S. 9-12) als Hauptdiagnosen beidseits visuelle Verzerrungen und Metamorphopsien aufgrund einer Makulopathie , einen Astigmatismus myopicus und eine Presbyo pie beidseits auf und hielt fest, es liege keine neurogene Ursache für die op ti sche/ retinale Diplopie bis Polyopie beidseits vor. Er führte zudem aus, es be stünde keine Indikation für weitere neurologische Abklärungen ( vgl. auch den Low Vision Bericht vom 10. Mai 2021 [Urk. 7/313], wonach die Beschwerdefüh rerin diese Diagnosen im Alltag als sehr störend empfinde). 3.13</w:t>
      </w:r>
    </w:p>
    <w:p>
      <w:r>
        <w:t>In den Berichten des Stadtspitals U.___ vom 5. Februar 2021, 12. Feb ruar 2021 und vom 23. Februar 2021 (Urk. 7/282) hielten die behandeln den Ärzte nach durchgeführter Gastroskopie, Sonographie des Abdomens sowie nach Durchführung eines kontrastmittelverstärkten CT von Thorax und Abdomen fest, die Klinik sei relativ unspezifisch, die Gastroskopie sei unauffällig (vgl. auch den Bericht vom 19. August 2021 [Urk. 7/381 S. 5-12] sowie denjenigen der Klinik für Gastroenterologie und Hepatologie des Spital V.___ vom 7. Sep tember 2021 [Urk. 7/381 S. 1-4]). 3.14</w:t>
      </w:r>
    </w:p>
    <w:p>
      <w:r>
        <w:t>Dr. med. W.___ , Facharzt für Dermatologie und Venerologie, Zentrum AA._ __ , führte in seinem Bericht vom 4. März 2021 (Urk. 7/285) als Diagnosen die folgenden auf: Rektozele , Obstipation anamnestisch, hypermo bile Schleimhautfalte rektal, Marisken , Ausschluss Hämorrhoidalleiden, Verdacht auf Phimose Klitoris-Präputiums/ Klitorisadhäsion , Differentialdiagnose initialer Lichen sclerosus et atrophicus , Atherom Rücken. Er hielt fest, der Lichen sclerosus et atrophicus habe nicht bewiesen werden können und empfahl weiterführende Untersuchungen bei entsprechenden Spezialisten (vgl. auch den Bericht von Dr. med. AB._ __ , Fachärztin für Gynäkologie und Geburtshilfe, vom 3. Mai 2021 [Urk. 7/312], sowie den Bericht von Dr. med. AC.___ , Fachärztin für Gynäkologie und Geburtshilfe, vom 25. Mai 2021 [Urk. 7/314]). 3. 15</w:t>
      </w:r>
    </w:p>
    <w:p>
      <w:r>
        <w:t>Prof. Dr. Dr. med. AE.___ , Facharzt für Ophthalmologie und Ophthal mochirurgie , Spital V.___ , Augenklinik, stellte in seinem Bericht vom 3. Juni 2021 (Urk. 7/329 S. 1 f. ) die Diagnosen einer Myopia</w:t>
      </w:r>
    </w:p>
    <w:p>
      <w:r>
        <w:t>media , einer Cataracta</w:t>
      </w:r>
    </w:p>
    <w:p>
      <w:r>
        <w:t>sensilis , einer epiretinalen Membran, eines Status’ nach Uveitis</w:t>
      </w:r>
    </w:p>
    <w:p>
      <w:r>
        <w:t>anterior sowie von unklaren Sehstörungen mit Doppelbildern. Er legte dar, es sei versucht wor den, im Rahmen der Sprechstunden Doppelbilder zu reproduzieren, was indes nicht gelungen sei. Die Sehstörungen, welche die Beschwerdeführerin beschreibe , und die ophthalmologischen Veränderungen seien mit den erhobenen Befunden nicht in Einklang zu bringen, er habe keine gute Erklärung , wie diese Sehstörung zustande komme. Bereits anlässlich der Untersuchung im Spital T.___ (vgl. E. 3.</w:t>
      </w:r>
    </w:p>
    <w:p>
      <w:r>
        <w:rPr>
          <w:b/>
        </w:rPr>
        <w:t>E. 2.3</w:t>
      </w:r>
    </w:p>
    <w:p>
      <w:r>
        <w:t>Was schliesslich die von der Beschwerdeführerin mit Beschwerdeerhebung zu den Akten gelegte Aktenbeurteilung K TG durch Dr. AH._ __ vom 15. Mai 2021 (Urk. 3/3) anbelangt, ist festzuhalten, dass darin einzig die – fachfremde – Diagno se einer Makulopathie (ICD-10: H35) gestellt wurde, weitere Beschwerden hingegen bloss angedeutet wurde n . Dr. AH._ __ hielt fest, aufgrund der beschrie benen und aktenanamnestisch erwähnten Beschwerden erscheine die von der Hausärztin bescheinigte Arbeitsunfähigkeit in der angestammten Tätigkeit als plausibel, was er allerdings einzig mit dem Vorliegen der Makulopathie</w:t>
      </w:r>
    </w:p>
    <w:p>
      <w:r>
        <w:t>begrün dete und ausführte, er rechne mit einer unveränderten Arbeitsunfähigkeit, sofern keine weitere augenärztliche Behandlung eingeleitet werde. Die</w:t>
      </w:r>
    </w:p>
    <w:p>
      <w:r>
        <w:t>attestierte – und vorliegend strittige – vollständige Arbeitsunfähigkeit in einer angepassten Tätig keit begründete er hingegen in keiner Weise , weshalb die Aktenbeurteilung nicht geeignet ist, die von RAD-Arzt Dr. AG.___ attestierte 80%ige Arbeitsfähigkeit in einer angepassten Tätigkeit in Zweifel zu ziehen . Dasselbe gilt für den ebenfalls mit Beschwerdeerhebung zu den Akten gereichten Arztbericht des Spital s V.___ vom 7. September 2021 (Urk. 3/ 4 ) , zumal diesem keine Angabe zu einer möglichen Arbeitsunfähigkeit zu entnehmen ist. 4.3</w:t>
      </w:r>
    </w:p>
    <w:p>
      <w:r>
        <w:t>So weit die Beschwerdeführerin vorbringt, RAD-Arzt Dr. AG.___ «mä a ndere» hin sichtlich seiner Einschätzung der Arbeitsfähigkeit, ist anzumerken, dass dieser wohl im Verlaufe seiner Stellungnahmen zu unterschiedlichen Beurteilungen ge langte, dies jedoch nachvollziehbar ist. So passte er seine jeweilige Einschätzung den von der Beschwerdeführerin beigebrachten Arztberichten an und legte die Arbeitsfähigkeit jeweils in der Gesamtschau sämtlicher Befunde neu fest. Dass er dabei im Laufe des Verfahrens von seiner ursprünglich getroffenen Einschätzung vom 26. September 2018 (Urk. 7/ 205 S. 3 f.) abwich, ist angesichts des Umfangs der medizinischen Akten und der fortlaufend neu aufgelegten Berichte nicht zu beanstanden.</w:t>
      </w:r>
    </w:p>
    <w:p>
      <w:r>
        <w:t>Mit Blick auf die umfassende medizinische Aktenlage ist abschliessend darauf hinzuweisen, dass massgebend für den Grad der Arbeitsunfähigkeit nicht die Dia gnose oder die Zahl der erhobenen Diagnosen ist, sondern die daraus resultieren de Leistungseinschränkung, welche sich auch durch eine zusätzliche Beeinträch tigung nicht zwangsläufig erhöhen muss (vgl. Urteil des Bundesgerichts 9C_804/2015 vom 21. Juni 2016 E. 3.2). 4. 4</w:t>
      </w:r>
    </w:p>
    <w:p>
      <w:r>
        <w:t>Nach dem Gesagten ist mit dem im Sozialversicherungsrecht geltenden Beweis grad der überwiegenden Wahrscheinlichkeit erstellt, dass die Beschwerdeführerin in einer angepassten Tätigkeit – unter Berücksichtigung des umschriebenen Be lastungsprofils (vgl. E. 4. 1 ) – zu 80 % arbeitsfähig ist. 5.</w:t>
      </w:r>
    </w:p>
    <w:p>
      <w:r>
        <w:t>5.1</w:t>
      </w:r>
    </w:p>
    <w:p>
      <w:r>
        <w:t>Die Beschwerdeführerin macht geltend, eine allfällig vorhandene Restarbeits fähigkeit sei angesichts der kurzen noch verbleibenden Aktivitätsdauer nicht ver wertbar (Urk. 1 S. 9). 5.2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 nen Arbeitsmarkt realistischerweise nicht mehr nachgefragt wird, und dass ihr deren Verwertung auch gestützt auf die Selbsteingliederungspflicht nicht mehr zumutbar ist .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w:t>
      </w:r>
    </w:p>
    <w:p>
      <w:r>
        <w:t>Erwerbstätigkeit, sobald die medizinischen Unterlagen diesbezüglich eine zuverlässige Sachverhaltsfeststellung erlauben (BGE 143 V 431 E. 4.5 .1; vgl. BGE 138 V 457 E. 3.4). 5.3</w:t>
      </w:r>
    </w:p>
    <w:p>
      <w:r>
        <w:t>Aus den Akten geht hervor, dass der RAD-Arzt, Dr. AG.___ , am 1 7. Februar 2021 zum Schluss kam, die Beschwerdeführerin sei in angepasster Tätigkeit mindestens zu 80 % arbeitsfähig (Urk. 7/301 S. 10-11). Zu diesem Zeitpunkt war die Beschwerdeführerin knapp 61,5 Jahre alt, womit ihr noch eine Aktivitätsdauer von gut 2,5 Jahren bis zum Erreichen des AHV-Alters verblieben. 5.4</w:t>
      </w:r>
    </w:p>
    <w:p>
      <w:r>
        <w:t>Gemäss bundesgerichtlicher Rechtsprechung ist e ine Unverwertbarkeit der Rest arbeitsfähigkeit aufgrund des fortgeschrittenen Alters erst anzunehmen, wenn die zumutbare Tätigkeit nur in so eingeschränkter Form möglich ist, dass sie der aus geglichene Arbeitsmarkt praktisch nicht kennt oder sie nur unter nicht realisti schem Entgegenkommen eines durchschnittlichen Arbeitgebers möglich wäre und das Finden einer entsprechenden Stelle daher von vornherein als ausge schlossen erscheint (Urteile des Bundesgerichts 9C_712/2017 vom 1 2. Januar 2018 E. 4.2.2 und 8C_582/2015 vom 8. Oktober 2015 E. 5.11). Mithin bleibt «die Nichtverwertbarkeit der Restarbeitsfähigkeit aufgrund fortgeschrittenen Alters in der Rechtsprechung in der Regel eine Ausnahme» (Marco Weiss, Verwertbarkeit der Restarbeitsfähigkeit aufgrund vorgerückten Alters – Rechtsprechungstenden zen, SZS 2018, S. 630 ff., S. 640). 5.5</w:t>
      </w:r>
    </w:p>
    <w:p>
      <w:r>
        <w:t>Die Beschwerdeführerin ist in einer angepassten Tätigkeit mindestens zu 80 % arbeitsfähig und stand bis im Jahr 2018 immer im Arbeitsprozess. Sie verfügt über langjährige Erfahrung im Pflegebereich und zudem – neben zwei weiteren Ausbildungen – über eine solche als Bürokauffrau. Bereits der Umstand, dass sie in der Vergangenheit mehrere Berufe erlernte und ausübte, spricht dafür, dass sie über die für eine berufliche Umstellung erforderliche Flexibilität verfügt. Zudem steht ihr unter Berücksichtigung des Belastungsprofils ein breites Spektrum an Tätigkeiten offen. Im Rahmen ihrer Schadenminderungspflicht ist es ihr daher zumutbar, sich beruflich umzuorientieren, insbesondere da der ausgeglichene Arbeitsmarkt auch Nischenarbeitsplätze umfasst, bei welchen mit einem sozialen Entgegenkommen des Arbeitgebers gerechnet werden kann (Urteil des Bundesge richts 8C_55/2022 vom 1 9. Mai 2022, E. 4.3).</w:t>
      </w:r>
    </w:p>
    <w:p>
      <w:r>
        <w:t>Im Lichte der rechtsprechungsgemäss relativ hohen Hürden betreffend die Unver wertbarkeit der Restarbeitsfähigkeit auch älterer Menschen sowie angesichts der Kasuistik in vergleichbaren Fällen (vgl. Urteil des Bundesgerichts 9C_574/2019 vom 1 6. Oktober 2019 E. 2.4 , Urteil des Bundesgerichts 9C_797/2019 vom 6. Ja nuar 2020 E. 5) ist de r Beschwerdeführer in die Verwertung ihrer Restarbeits fähigkeit zumutbar. 6 . 6 .1</w:t>
      </w:r>
    </w:p>
    <w:p>
      <w:r>
        <w:t>Zu prüfen bleibt, wie sich die gemäss obigem Anforderungsprofil attestierte Rest arbeitsfähigkeit von 80 % in erwerblicher Hinsicht auswirkt. Da vorliegend von einem Beginn der massgebenden Arbeitsunfähigkeit am 18. März 2019 aus zu ge hen ist (E. 4.1) und weil die Beschwerdeführerin ihren Leistungsanspruch erstmals am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 IVG).</w:t>
      </w:r>
    </w:p>
    <w:p>
      <w:r>
        <w:rPr>
          <w:b/>
        </w:rPr>
        <w:t>E. 12</w:t>
      </w:r>
    </w:p>
    <w:p>
      <w:r>
        <w:t>. Februar</w:t>
      </w:r>
    </w:p>
    <w:p>
      <w:r>
        <w:t>2018 geltend machte (Art. 29 Abs. 1 ATSG), konnte ein Renten anspruch der Beschwerdeführerin frühestens im März</w:t>
      </w:r>
    </w:p>
    <w:p>
      <w:r>
        <w:t>2020 entstehen (Art. 28 Abs. 1 lit . b IVG in Verbindung mit Art. 29 Abs. 1 IVG), weshalb bei der Invali di tätsbemessung die Verhältnisse zu diesem Zeitpunkt massgebend sind. 6 .2</w:t>
      </w:r>
    </w:p>
    <w:p>
      <w:r>
        <w:t>Bei erwerbs 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 kommen ziffernmässig möglichst genau ermittelt und einander gegen übergestellt werden, worauf sich aus der Einkommensdifferenz der Invaliditäts grad be stimmen lässt (sog. allgemeine Methode des Einkommensvergleichs; BGE 130 V 343 E. 3.4.2 ; 128 V 29 E. 1 ). 6 .3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 gel am zuletzt erzielten, nötigenfalls der Teuerung und der realen Einkommens entwicklung angepassten Verdienst angeknüpft, da es empirischer Erfahrung ent spricht, dass die bisherige Tätigkeit ohne Gesundheitsschaden fortgesetzt worden wäre. Aus nahmen müssen mit überwiegender Wahrscheinlichkeit erstellt sein (BGE</w:t>
      </w:r>
    </w:p>
    <w:p>
      <w:r>
        <w:t>145 V 141 E. 5.2.1 ; 139 V 28 E. 3.3.2 ; 135 V 58 E. 3.1 ; 134 V 322 E. 4.1).</w:t>
      </w:r>
    </w:p>
    <w:p>
      <w:r>
        <w:t>Die IV-Stelle ermittelte im Rahmen des Einkommensvergleiches ein</w:t>
      </w:r>
    </w:p>
    <w:p>
      <w:r>
        <w:t>Validenein kommen von Fr. 95'505.65 und stützte sich dabei – zu Gunsten der Beschwerde führerin – auf sta tistische We rte des Bundes (Urk. 7/324 S. 3) .</w:t>
      </w:r>
    </w:p>
    <w:p>
      <w:r>
        <w:t>Dies ist a nge sichts der Einkommensschwankungen, welche bis Eintritt der Invalidität in Erscheinung getreten sind (vgl. IK-Auszug vom 12. Dezember 2019, Urk. 7/221) , nicht zu be anstanden. 6 .4 6 .4.1</w:t>
      </w:r>
    </w:p>
    <w:p>
      <w:r>
        <w:t>Für die Bestimmung des Invalideneinkommens können nach der Recht sprechung Tabellenlöhne gemäss den vom Bundesamt für Statistik (BFS) perio disch heraus gegebenen Lohnstrukturerhebungen (LSE) herangezogen werden (BGE 139 V 592 E. 2.3 ; 135 V 297 E. 5 .2; 129 V 472 E. 4.2.1 ). Dabei sind grund sätzlich die im Verfügungszeitpunkt aktuellsten veröffentlichten Tabellen der LSE zu verwenden (BGE 143 V 295 E. 4.1.3; zur Verwendung der aktuellsten statis tischen Daten bei Rentenrevisionen vgl. BGE 143 V 295 E. 4.2.2 ;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 139 V 592 E. 2.3 ; 135 V 297 E. 5.2; vgl. auch Meyer/ Reichmuth , Bundesgesetz über die Invalidenversicherung, 3. Auflage 2014, Rn</w:t>
      </w:r>
    </w:p>
    <w:p>
      <w:r>
        <w:t>55 und 89 zu Art. 28a, mit weiteren Hinweisen auf die Rechtsprechung).</w:t>
      </w:r>
    </w:p>
    <w:p>
      <w:r>
        <w:t>Vorliegend ist – mit der IV-Stelle (Urk. 7/300) – zur Ermittlung des Invalidenein kommens die LSE-Tabelle 2018 TA1 heran zuziehen und auf den lohnmässigen Zentralwert im Sektor 3, Dienstleistungen (45-96), Kompetenzniveau 2, Frauen, ab zustellen (Fr. 4’810 .--) .</w:t>
      </w:r>
    </w:p>
    <w:p>
      <w:r>
        <w:t>Angepasst an die Nominallohnentwicklung ( 1 % im Jahr 2019 und 0. 9 % im Jahr 2020, vgl. Nominallohnindex, Frauen , 2010-2019, T39_1976-2020), unter Berücksichtigung der betriebsübliche n Arbeitszeit (41.7 Stunden, vgl. BFS, Betriebsübliche Arbeitszeit nach Wirtschaftsabteilungen in Stunde n pro Woche, Total, A-S, 2020) und umgerechnet auf das de r Beschwer de führer in zumutbare Pensum von 8 0 %, ist von einem Invalideneinkommen von Fr. 49 ' 057 .-- auszugehen ([ 4’810 .-- x 12 : 40 x 41.7 + 1 % + 0. 9 %] x 0.80 ). 6 . 4.2</w:t>
      </w:r>
    </w:p>
    <w:p>
      <w:r>
        <w:t>Ein basierend auf der Grundlage von statis tischen Durchschnittswerten ermittel tes Invalideneinkommen ist allenfalls zu kürzen, da persönliche oder berufliche Merkmale wie Lebensalter, Nationalität oder Beschäftigungsgrad Auswirkungen auf die Lohnhöhe haben können (BGE 124 V 321 E. 3b/ aa ). Indes soll der Abzug nicht automatisch erfolgen; er ist vielmehr unter Würdigung der Umstände im Einzelfall nach pflichtgemässem Ermessen gesamthaft zu schätzen und darf 25 % nicht übersteigen (BGE 135 V 297 E. 5.2; 134 V 332 E. 5.2).</w:t>
      </w:r>
    </w:p>
    <w:p>
      <w:r>
        <w:t>Die IV-Stelle sah von der Gewährung eines lei densbedingten Abzuges ab (Urk. 7 / 300 S. 2 ) .</w:t>
      </w:r>
    </w:p>
    <w:p>
      <w:r>
        <w:t>Dies ergibt</w:t>
      </w:r>
    </w:p>
    <w:p>
      <w:r>
        <w:t>– entgegen der Ansicht der Beschwerdeführerin (Urk. 1 S. 9 f. ) – keinen Anlass zu r Kritik , zumal den gesundheitsbedingten Ein schränkungen de r Beschwerdeführer in bereits im Rahmen der ih r aus medizini scher Sicht zumutbaren Arbeitsfähigkeit hinreichend Rechnung getragen wurde (Arbeitsfähigkeit von 100 % abzüglich einer um 20 % verminderten Leistungs fähigkeit, vgl. E. 4.1) und eine hohe Arbeitsfähigkeit in angepasster Tätigkeit vor liegt. Überdies ist anzumerken, dass dem Alter im Zusammenhang mit dem Lei densabzug bloss eine beschränkte Bedeutung zukommt. So fällt einerseits der Umstand, dass die Stellensuche altersbedingt erschwert sein kann, als invalidi tätsfremder Faktor regelmässig ausser Betracht, andererseits steht fest, dass sich das Alter bei Frauen im Alterssegment von 40 bis 64/65 bei Stellen ohne Kader funktion eher lohnerhöhend auswirkt (vgl. Urteile des Bundesgerichts 8C_327/2018 vom 31. August 2018 E. 4.4.2; 8C_558/2017 vom 1. Februar 2018 E. 5.3.2). 6 . 5</w:t>
      </w:r>
    </w:p>
    <w:p>
      <w:r>
        <w:t>Aus der Gegenüberstellung der Vergle ichseinkommen ( Valideneinkommen Fr. 95'506.--; Invalideneinkommen Fr. 49'057.--) resultiert eine Erwerbseinbusse von Fr. 46’449.--, was einem Invaliditätsgrad von gerundet 49 % entspricht und Anspruch auf eine Viertelsrente der Invalidenversicherung begründet (vgl. E. 1.3) . 7 .</w:t>
      </w:r>
    </w:p>
    <w:p>
      <w:r>
        <w:t>Soweit die Beschwerdeführer in schliesslich eine Verletzung des Untersuchungs grundsatzes durch die IV-Stelle rügt (vgl. E. 2.2), ist festzuhalten, dass die IV-Stelle auf die Abnahme weiterer Beweise dann verzichten kann, sofern sie nach den von Amtes wegen vorzunehmenden Abklärungen bei pflichtgemässer Be weiswürdigung zur Überzeugung gelangt, ein bestimmter Sachverhalt sei als überwiegend wahrscheinlich zu betrachten und weitere Beweismassnahmen könnten an diesem Ergebnis nichts mehr ändern (antizipierte Beweiswürdigung). Darin liegt weder eine Verletzung des Untersuchungsgrundsatzes noch eine Ver letzung des rechtlichen Gehörs (Art. 29 Abs. 2 BV; vgl. BGE 144 V 361 E. 6.5, 136 I 229 E. 5.3 ). Davon, dass die von ihr getätigten Abklärungen eine abschlies sende Beurteilung des Leistungsanspruchs de r Beschwerdeführer in erlaubten, ging die IV-Stelle nach dem Gesagten (vgl. vorstehend E. 4 - 6 ) denn auch zu Recht aus. 8 .</w:t>
      </w:r>
    </w:p>
    <w:p>
      <w:r>
        <w:t>Zusammenfassend hat die Beschwerdeführerin ab 1. März 2020 Anspruch auf eine Viertelsrente der Invalidenversicherung. Demzufolge</w:t>
      </w:r>
    </w:p>
    <w:p>
      <w:r>
        <w:t>erweist sich die ange fochtene Verfügung vom 17. September 2021 (Urk. 2) als rechtens, was zur Ab weisung der Beschwerde führt. 9 .</w:t>
      </w:r>
    </w:p>
    <w:p>
      <w:r>
        <w:t>Die Verfahrenskosten sind auf Fr. 700.-- festzusetzen (Art. 69 Abs. 1 bis IVG)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