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IV.2021.00475 vom 30. September 2022</w:t>
      </w:r>
    </w:p>
    <w:p>
      <w:r>
        <w:t>ZH Sozialversicherungsgericht, 2022-09-30, DE</w:t>
      </w:r>
    </w:p>
    <w:p>
      <w:r>
        <w:rPr>
          <w:b/>
        </w:rPr>
        <w:t xml:space="preserve">Quelle: </w:t>
      </w:r>
      <w:r>
        <w:t>https://mcp.opencaselaw.ch/entscheid/zh_sozialversicherungsgericht_IV.2021.00475</w:t>
      </w:r>
    </w:p>
    <w:p>
      <w:r>
        <w:t>FR: ZH_SOZIALVERSICHERUNGSGERICHT IV.2021.00475 du 30 septembre 2022</w:t>
      </w:r>
    </w:p>
    <w:p>
      <w:r>
        <w:t>IT: ZH_SOZIALVERSICHERUNGSGERICHT IV.2021.00475 del 30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 medizinischen Sachverhalt überhaupt für gutachterlich abklärungsbedürftig hält oder wenn eine Adminis 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 unbenommen, eine Sache zurückzu weisen, wenn lediglich eine Klarstellung, Präzisierung oder Ergänzung von gutachterlichen Ausführungen erforderlich ist (B GE 139 V 99 E. 1.1, 137 V 210 E. 4.4.1.4 mit Hinweisen; Urteil des Bundesgerichts 9C_354/2020 vom 8. Septem ber 2020 E. 2.1) . 2.</w:t>
      </w:r>
    </w:p>
    <w:p>
      <w:r>
        <w:rPr>
          <w:b/>
        </w:rPr>
        <w:t>E. 2</w:t>
      </w:r>
    </w:p>
    <w:p>
      <w:r>
        <w:t>im Verfahren IV.2021.00598 [= Urk. 14/1] ). Mit Beschwerdeantwort vom 4. November 2021 beantragte die Beschwerdegegnerin die Abweisung auch dieser Beschwerde ( Urk.</w:t>
      </w:r>
    </w:p>
    <w:p>
      <w:r>
        <w:rPr>
          <w:b/>
        </w:rPr>
        <w:t>E. 2.1</w:t>
      </w:r>
    </w:p>
    <w:p>
      <w:r>
        <w:t>Zur Begründung der angefochtenen Verfügungen vom 1 5. Juni 2021 und 7. September 2021 hielt die Beschwerdegegnerin im Wesentlichen fest , die Beschwerdeführerin habe erfolgreich eine Ausbildung zur Köchin EFZ abge schlossen. D ie Abklärungen im Rahmen der Rentenprüfung hätten ergeben, dass nach dem Unfall vom 4. Juli 2019 gesundheitsbedingt keine Erwerbsfähigkeit bestanden habe . Ausgehend von einem I nvaliditätsgrad von 100 % bestehe ab dem 1. Juli 2019</w:t>
      </w:r>
    </w:p>
    <w:p>
      <w:r>
        <w:t>nach Abschluss der beruflichen Mas snahmen Anspruch auf eine ganze Invalidenrente. Die im Juli 2019 entrichteten Taggelder würden mit der Rente verrechnet.</w:t>
      </w:r>
    </w:p>
    <w:p>
      <w:r>
        <w:t>Im weiteren Verlauf habe sich der Gesundheitszustand der Beschwerdeführerin verbessert. P er 1. September 2020 habe sie eine 50%-Stelle als Imbissangestellte angenommen, womit sie ihre medizinisch zumutbare Arbeitsfähigkeit ausschöpfe. Der Lohn entspreche einem durchschnittlichen Verdienst als Köchin, weshalb die Erwerbseinbusse 50 % betrage. Folglich sei die ganze Rente per 1. September 2020 auf eine halbe Rente zu reduzieren ( Urk. 2 S. 3 , Urk. 14/2 ).</w:t>
      </w:r>
    </w:p>
    <w:p>
      <w:r>
        <w:rPr>
          <w:b/>
        </w:rPr>
        <w:t>E. 2.2</w:t>
      </w:r>
    </w:p>
    <w:p>
      <w:r>
        <w:t>In ihrer Beschwerdeschrift vom 1 2. August 2021 worauf auch mit Eingabe vom 5. Oktober 2021 im Verfahren IV.2021.00598 verwiesen wurde (vgl. Urk. 14/1)</w:t>
      </w:r>
    </w:p>
    <w:p>
      <w:r>
        <w:t>machte die Beschwerdeführerin zusammengefasst geltend, bereits vor ihrem schweren Reit- und Autounfall sei ihre Arbeits- und Leistungsfähigkeit im ersten Arbeitsmarkt sehr ungewiss gewesen und hätte von der Beschwerdegegne rin weiter abgeklärt werden müssen, zumal bereits weitere berufliche Massnah men vorgesehen gewesen seien. Nachdem die Unfallversicherung angekündigt habe, ihre Taggeldleistungen in Kürze einzustellen , und sie von der Invalidenver sicherung keine Unterstützung erhalten habe, sei sie in Panik geraten und habe über eine Bekannte eine Stelle gesucht, um ihren Lebensunterhalt finanzieren zu können. Die Stelle in einem Autoimbiss sei jedoch offensichtlich weder ihren psychischen noch somatischen Einschränkungen angepasst gewesen. Wie während den im Rahmen der Lehre im ersten Arbeitsmarkt absolvierten Praktika sei sie nach anfänglich gutem Einstieg überfordert gewesen. Dieses Arbeitsver hältnis könne deshalb nur als gescheiterter Arbeitsversuch qualifiziert werden und dürfe bei der Invaliditätsbemessung nicht berücksichtigt werden. Die Beschwerdegegnerin habe es in Verletzung ihrer Abklärungs- und Unter suchungspflicht unterlassen, die konkrete Arbeits- und Erwerbsfähigkeit nach dem traumatischen Unfall rechtsgenüglich</w:t>
      </w:r>
    </w:p>
    <w:p>
      <w:r>
        <w:t>abzuklären.</w:t>
      </w:r>
    </w:p>
    <w:p>
      <w:r>
        <w:t>Seit dem gescheiterten Arbeitsversuch sei sie wieder im geschützten Rahmen zu 50 % bei der Stiftung Z.___ tätig. Eine erneute Anstellung im ersten Arbeitsmarkt sei momentan aufgrund der gesundheitlichen Situation nicht möglich. Die Rentenherabsetzung per September 2020 sei daher zu Unrecht erfolgt ( Urk. 1 S. 6 f.). Selbst wenn aufgrund des Arbeitsversuchs von einer Verbesserung der Erwerbsfähigkeit ausgegangen würde, hätte die ganze Rente erst nach drei Monaten und somit per 1. Dezember 2020 herabgesetzt werden dürfen ( Urk. 1 S. 8).</w:t>
      </w:r>
    </w:p>
    <w:p>
      <w:r>
        <w:rPr>
          <w:b/>
        </w:rPr>
        <w:t>E. 2.3</w:t>
      </w:r>
    </w:p>
    <w:p>
      <w:r>
        <w:t>letzter Absatz) - Abklärung im Sinne der obigen Erwägungen eine neue Beurteilung vornehme und sodann über den Renten anspruch ab dem genannten Zeitpunkt neu verfüge.</w:t>
      </w:r>
    </w:p>
    <w:p>
      <w:r>
        <w:t>Soweit die Beschwerdeführerin im Übrigen die Ausrichtung von Übergangsleistungen beantragt, ist auf die Beschwerde nicht einzutreten.</w:t>
      </w:r>
    </w:p>
    <w:p>
      <w:r>
        <w:rPr>
          <w:b/>
        </w:rPr>
        <w:t>E. 6</w:t>
      </w:r>
    </w:p>
    <w:p>
      <w:r>
        <w:t>ATSG) gewesen sind; und c.</w:t>
      </w:r>
    </w:p>
    <w:p>
      <w:r>
        <w:t>nach Ablauf dieses Jahres zu mindestens 40 % invalid ( Art.</w:t>
      </w:r>
    </w:p>
    <w:p>
      <w:r>
        <w:rPr>
          <w:b/>
        </w:rPr>
        <w:t>E. 8</w:t>
      </w:r>
    </w:p>
    <w:p>
      <w:r>
        <w:t>.2</w:t>
      </w:r>
    </w:p>
    <w:p>
      <w:r>
        <w:t>Nach</w:t>
      </w:r>
    </w:p>
    <w:p>
      <w:r>
        <w:t>Art. 61 lit . g ATSG in Verbindung mit</w:t>
      </w:r>
    </w:p>
    <w:p>
      <w:r>
        <w:t>§ 34</w:t>
      </w:r>
    </w:p>
    <w:p>
      <w:r>
        <w:t>Abs. 1</w:t>
      </w:r>
    </w:p>
    <w:p>
      <w:r>
        <w:t>GSVGer</w:t>
      </w:r>
    </w:p>
    <w:p>
      <w:r>
        <w:t>hat die obsie gende Beschwerde führende Person Anspruch auf Ersatz der Parteikosten. Diese werden ohne Rücksicht auf den Streitwert nach der Bedeutung der Streitsache, der Schwierigkeit des Prozesses sowie dem Mass des Obsiegens bemessen ( § 34</w:t>
      </w:r>
    </w:p>
    <w:p>
      <w:r>
        <w:t>Abs. 3 GSVGer ).</w:t>
      </w:r>
    </w:p>
    <w:p>
      <w:r>
        <w:t>Rechtsanwä lt in</w:t>
      </w:r>
    </w:p>
    <w:p>
      <w:r>
        <w:t>Lotti Sigg machte als unentgeltliche Rechtsvertreter in von der</w:t>
      </w:r>
    </w:p>
    <w:p>
      <w:r>
        <w:t>Möglichkeit, eine Honorarnote einzureichen (vgl.</w:t>
      </w:r>
    </w:p>
    <w:p>
      <w:r>
        <w:t>Urk.</w:t>
      </w:r>
    </w:p>
    <w:p>
      <w:r>
        <w:rPr>
          <w:b/>
        </w:rPr>
        <w:t>E. 13</w:t>
      </w:r>
    </w:p>
    <w:p>
      <w:r>
        <w:t>S. 5 ), keinen Gebrauch, weshalb die P artei entschädigung ermessensweise festzusetzen ist. Unter Berücksichtigung der massgebenden Kriterien hat die Beschwerdegegnerin eine Partei entschädigung in der Höhe von</w:t>
      </w:r>
    </w:p>
    <w:p>
      <w:r>
        <w:t>Fr. 2’8 00.--</w:t>
      </w:r>
    </w:p>
    <w:p>
      <w:r>
        <w:t>(inkl. Barauslagen und Mehr wert steuer) zu bezahlen, wobei diese direkt der unentgeltlichen Rechtsvertreter in der obsiegenden Beschwerdeführerin zuzusprechen ist (vgl. Urteil des Bundesgerichts 4A_170/2018 vom 20. Juni 2018 E. 1.3 mit Hinweisen). Das Gericht erkennt: 1.</w:t>
      </w:r>
    </w:p>
    <w:p>
      <w:r>
        <w:t>Die Beschwerde n</w:t>
      </w:r>
    </w:p>
    <w:p>
      <w:r>
        <w:t>werden in dem Sinne gutgeheissen, dass die angefochtenen Verfü gungen vom 1 5. Juni 2021 und 7. September 2021 insoweit aufgehoben werden, als sie den Rentenanspruch ab 1. September 2020 betreffen, und es wird die Sache an die Sozialversicherungsanstalt des Kantons Zürich, IV-Stelle, zurückgewiesen, damit sie nach ergänzenden Abklärungen im Sinne der Erwägungen über den Leistungsanspruch der Beschwerdeführerin ab 1. September 2020 neu verfüge. Im Übrigen werden die Beschwerde n abgewiesen, soweit darauf eingetreten wird.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Lotti Sigg, Winterthur, eine Prozessentschädigung von Fr. 2’8 00 .-- (inkl. Barauslagen und MWSt ) zu bezahlen. 4.</w:t>
      </w:r>
    </w:p>
    <w:p>
      <w:r>
        <w:t>Zustellung gegen Empfangsschein an: - Rechtsanwältin Lotti Sigg - Sozialversicherungsanstalt des Kantons Zürich, IV-Stelle , unter Beilage einer Kopie von Urk. 19 -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