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IV.2021.00458 vom 3. März 2022</w:t>
      </w:r>
    </w:p>
    <w:p>
      <w:r>
        <w:t>ZH Sozialversicherungsgericht, 2022-03-03, DE</w:t>
      </w:r>
    </w:p>
    <w:p>
      <w:r>
        <w:rPr>
          <w:b/>
        </w:rPr>
        <w:t xml:space="preserve">Quelle: </w:t>
      </w:r>
      <w:r>
        <w:t>https://mcp.opencaselaw.ch/entscheid/zh_sozialversicherungsgericht_IV.2021.00458</w:t>
      </w:r>
    </w:p>
    <w:p>
      <w:r>
        <w:t>FR: ZH_SOZIALVERSICHERUNGSGERICHT IV.2021.00458 du 3 mars 2022</w:t>
      </w:r>
    </w:p>
    <w:p>
      <w:r>
        <w:t>IT: ZH_SOZIALVERSICHERUNGSGERICHT IV.2021.00458 del 3 marzo 2022</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 vorbehältlich besonderer übergangsrechtlicher Rege lungen –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w:t>
      </w:r>
    </w:p>
    <w:p>
      <w:r>
        <w:t>streitigen Einspracheentscheids eingetretenen Sachverhalt abstellt (BGE 144 V 210 E. 4.3.1, 132 V 215 E. 3.1.1, je mit Hinweisen), sind vorliegend die bis 31. Dezember 2021 gültig gewesenen Rechtsvorschriften anwendbar, die nach folgend auch in dieser Fassung zitiert werden.</w:t>
      </w:r>
    </w:p>
    <w:p>
      <w:r>
        <w:rPr>
          <w:b/>
        </w:rPr>
        <w:t>E. 1.2</w:t>
      </w:r>
    </w:p>
    <w:p>
      <w:r>
        <w:t>Gemäss Art. 42 Abs. 1 IVG haben Versicherte mit Wohnsitz und gewöhnlichem Aufenthalt ( Art. 13 ATSG) in der Schweiz, die hilflos ( Art. 9 ATSG) sind, Anspruch auf eine Hilflosenentschädigung. Vorbehalten bleibt Artikel 42 bis IVG. Als hilflos gilt eine Person, die wegen einer Beeinträchtigung der Gesundheit für alltägliche Lebensverrichtungen dauernd der Hilfe Dritter oder der persönlichen Überwachung bedarf ( Art. 9 ATSG). Im Bereich der Invalidenversicherung gilt auch eine Person als hilflos, welche zu Hause lebt und wegen der gesundheit lichen Beeinträchtigung dauernd auf lebenspraktische Begleitung angewiesen ist ( Art. 42 Abs.</w:t>
      </w:r>
    </w:p>
    <w:p>
      <w:r>
        <w:rPr>
          <w:b/>
        </w:rPr>
        <w:t>E. 1.3</w:t>
      </w:r>
    </w:p>
    <w:p>
      <w:r>
        <w:t>Art. 37 IVV sieht drei Hilflosigkeitsgrade vor. Gemäss Abs. 3 dieser Bestimmung gilt die Hilflosigkeit als leicht, wenn die versicherte Person trotz der Abgabe von Hilfsmitteln: a. in mindestens zwei alltäglichen Lebensverrichtungen regelmässig in erheb licher Weise auf die Hilfe Dritter angewiesen ist; b. einer dauernden persönlichen Überwachung bedarf; c. einer durch das Gebrechen bedingten ständigen und besonders aufwendigen Pflege bedarf; d. wegen einer schweren Sinnesschädigung oder eines schweren körperlichen Gebrechens nur dank regelmässiger und erheblicher Dienstleistungen Dritter gesellschaftliche Kontakte pflegen kann; oder e. dauernd auf lebenspraktische Begleitung im Sinne von Art. 38 IVV ange wiesen ist.</w:t>
      </w:r>
    </w:p>
    <w:p>
      <w:r>
        <w:rPr>
          <w:b/>
        </w:rPr>
        <w:t>E. 1.4</w:t>
      </w:r>
    </w:p>
    <w:p>
      <w:r>
        <w:t>Gemäss Abs. 2 dieser Bestimmung gilt die Hilflosigkeit als mittelschwer, wenn die versicherte Person trotz der Abgabe von Hilfsmitteln: a. in den meisten alltäglichen Lebensverrichtungen regelmässig in erheblicher Weise auf die Hilfe Dritter angewiesen ist; b. in mindestens zwei alltäglichen Lebensverrichtungen regelmässig in erheb licher Weise auf die Hilfe Dritter angewiesen ist und überdies einer dauernden persönlichen Überwachung bedarf; oder c. in mindestens zwei alltäglichen Lebensverrichtungen regelmässig in erheb licher Weise auf die Hilfe Dritter und überdies dauernd auf lebenspraktische Begleitung im Sinne von Art. 38 IVV angewiesen ist.</w:t>
      </w:r>
    </w:p>
    <w:p>
      <w:r>
        <w:t>Nach der Rechtsprechung setzt Hilflosigkeit mittelschweren Grades nach Art. 37 Abs. 2 lit . a IVV eine Hilfsbedürftigkeit in mindestens vier alltäglichen Lebens verrichtungen voraus (B GE 121 V 88 E. 3b, 107 V 145 E. 2). 1.</w:t>
      </w:r>
    </w:p>
    <w:p>
      <w:r>
        <w:rPr>
          <w:b/>
        </w:rPr>
        <w:t>E. 1.6</w:t>
      </w:r>
    </w:p>
    <w:p>
      <w:r>
        <w:t>Im Sozialversicherungsverfahren gilt der Untersuchungsgrundsatz. Der rechts er heb liche Sachverhalt ist von Amtes wegen unter Mitwirkung der Versicherten zu ermitteln, und zwar richtig und vollständig (Art. 42 Abs. 1 ATSG und Art. 61 lit . c ATSG, BGE 136 V 376 E. 4.1.1, 133 V 196 E. 1.4).</w:t>
      </w:r>
    </w:p>
    <w:p>
      <w:r>
        <w:t>Bei der Erarbeitung der Grundlagen für die Bemessung der Hilflosigkeit ist eine enge, sich ergänzende Zusammenarbeit zwischen Arzt und Verwaltung erforder lich. Ersterer hat anzugeben, inwiefern die versicherte Person in ihren körperli chen bzw. geistigen Funktionen durch das Leiden eingeschränkt ist. Der Ver sicherungsträger kann an Ort und Stelle weitere Abklärungen (Art. 69 Abs. 2 IVV) vornehmen.</w:t>
      </w:r>
    </w:p>
    <w:p>
      <w:r>
        <w:rPr>
          <w:b/>
        </w:rPr>
        <w:t>E. 1.7</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 rige Ermessensentscheide zu treffen sind, oder wenn der ent scheidrelevante Sach verhalt ungenügend abgeklärt ist (vgl. Urteil des Bundesgerichts U 209/02 vom 10. September 2003 E. 5.2). 2.</w:t>
      </w:r>
    </w:p>
    <w:p>
      <w:r>
        <w:rPr>
          <w:b/>
        </w:rPr>
        <w:t>E. 2</w:t>
      </w:r>
    </w:p>
    <w:p>
      <w:r>
        <w:t>Dagegen erhob die Mutter der Versicherten am 30 . Juni 2021 (Poststempel) Beschwerde bei der IV-Stelle (Urk. 8/60 ), welche diese mit Schreiben vom 21. Juli 2021 an das hiesige Sozialversicherungsgericht weiterleitete (Urk. 5). Die Mutter der Versicherten beantragte sinngemäss die Erhöhung der Hilflosenentschä di gung (Urk. 1) und legte weitere Berichte des Schulpsychologischen Dienstes A.___ , der Schule für Sehbehinderte der Stadt B.___ sowie des Low Vision Zentrum s C.___ für sehbehinderte Kinder und Jugendliche auf (Urk. 3/1-3). Die IV-Stelle beantragte mit Beschwerdeantwort vom 10. September 2021 die Abwei sung der Beschwerde (Urk. 7), was der Mutter der Versicherten am 14. September 2021 zur Kenntnis gebracht wurde (Urk. 9). Das Gericht zieht in Erwägung: 1.</w:t>
      </w:r>
    </w:p>
    <w:p>
      <w:r>
        <w:rPr>
          <w:b/>
        </w:rPr>
        <w:t>E. 2.1</w:t>
      </w:r>
    </w:p>
    <w:p>
      <w:r>
        <w:t>Die Beschwerdegegnerin ging in der angefochtenen Verfügung davon aus, dass die Voraussetzungen für eine Hilflosigkeit im Sonderfall aufgrund hochgradiger Sehschwäche erfüllt sind. Aufgrund verspäteter Anmeldung könne die Hilf losen entschädigung ein Jahr rückwirkend ab Anmeldedatum ausgerichtet werden. In ihrer Vernehmlassung verwies die Beschwerdegegnerin insbesondere auf ihr Schreiben vom 14. Juli 2021 (Urk. 4) sowie auf die Stellungnahme ihres Abklä rungs dienstes vom 4. August 2021 (Urk. 8/67). Die von der Mutter der Ver sicher ten mit der Beschwerde neu aufgelegten Berichte hätten keine neuen Tat sachen hervorgebracht. Bei einer Hilflosigkeit im Sonderfall hätten sodann nur dann weitere Abklärungen zu erfolgen , wenn wegen zusätzlicher Gebrechen eine höhere Hilflosigkeit möglich erscheine (Urk. 4). Gemäss dem am 23. Juli 2021 eingegangenen Arztbericht des Kinderspitals</w:t>
      </w:r>
    </w:p>
    <w:p>
      <w:r>
        <w:t>D.___ vom 16. April 2020 könn e allenfalls eine Hilflosigkeit im Bereich der Notdurft ausgewiesen sein, wobei dies falls aber weiterhin eine leichte Hilflosigkeit vorliegen würde. Weitere Hinweise auf Hilfestellungen in den alltäglichen Lebensverrichtungen fänden sich im Arzt bericht nicht. Das als schwierig beschriebene Essverhalten sei nicht rel evant, da im Bereich des Essens nur anrechenbar sei, ob ein Kind das Essen und Trinken selbständig zum Munde führen könne, wobei diesbezüglich im Arztbericht nichts erwähnt werde. Insgesamt lägen keine konkreten Hinweise vor, welche auf eine mittlere Hilflosigkeit schliessen lassen würden (Urk. 8/67).</w:t>
      </w:r>
    </w:p>
    <w:p>
      <w:r>
        <w:rPr>
          <w:b/>
        </w:rPr>
        <w:t>E. 2.2</w:t>
      </w:r>
    </w:p>
    <w:p>
      <w:r>
        <w:t>Demgegenüber stellte sich die Mutter der Versicherten auf den Standpunkt, ihre Tochter könne nur bestimmte Kleider selbst ausziehen. Beim Ankleiden benötige sie immer die Hilfe einer Drittperson. Zudem müsse sie 3-4 Mal am Tag gefüttert werden. In Bezug auf die Körperpflege könne ihre Tochter lediglich selbständig die Hände waschen. Schliesslich könne sie sich ausserhalb ihr bekannter Bereiche nicht ohne Drittpersonen bewegen. Deshalb seien die Voraussetzungen einer mitt leren Hilflosigkeit erfüllt ( Urk. 1). 3.</w:t>
      </w:r>
    </w:p>
    <w:p>
      <w:r>
        <w:rPr>
          <w:b/>
        </w:rPr>
        <w:t>E. 3</w:t>
      </w:r>
    </w:p>
    <w:p>
      <w:r>
        <w:t>Satz 1 IVG; Art. 38 IVV). Praxisgemäss (BGE 121 V 88 E. 3a mit Hinweisen) sind die folgenden sechs alltäglichen Lebensverrichtungen mass gebend (BGE 127 V 94 E. 3c, 125 V 297 E. 4a): - Ankleiden, Auskleiden; - Aufstehen, Absitzen, Abliegen; - Essen; - Körperpflege; - Verrichtung der Notdurft; - Fortbewegung (im oder ausser Haus), Kontaktaufnahme.</w:t>
      </w:r>
    </w:p>
    <w:p>
      <w:r>
        <w:rPr>
          <w:b/>
        </w:rPr>
        <w:t>E. 3.1</w:t>
      </w:r>
    </w:p>
    <w:p>
      <w:r>
        <w:t>Die Ärzte der Augenklinik des Universitätsspitals Z.___</w:t>
      </w:r>
    </w:p>
    <w:p>
      <w:r>
        <w:t>nannten im Bericht vom 3. September 2015 als Diagnosen eine Opticushypoplasie beidseits sowie ein Strabismus convergens</w:t>
      </w:r>
    </w:p>
    <w:p>
      <w:r>
        <w:t>alternans bis rechts, womit die Geburtsge brechen Ziff. 423 sowie Ziff. 427 gemäss GgV -Anhang vorliegen würden . Auf grund der Sehbehinderung sei mit einer etwas verzögerten motorischen Entwick lung zu rechnen und auch der Erwerb der Selbständigkeit des Kindes werde sich deutlich verzögern. Diesbezüglich sei mit einem behinderungsbedingten Mehr aufwand im Verlauf zu rechnen (Urk. 8/20). 3. 2</w:t>
      </w:r>
    </w:p>
    <w:p>
      <w:r>
        <w:t>In seinem undatierten Bericht nannte med. pract . E.___ , Fach arzt FMH für Kinder- und Jugendmedizin, die Diagnose Opticushypoplasie beid seits mit starker Sehbehinderung und bejahte das Vorliegen von Geburts gebre chen gemäss GgV ohne konkrete Angabe von Ziffern (Urk. 8/27).</w:t>
      </w:r>
    </w:p>
    <w:p>
      <w:r>
        <w:rPr>
          <w:b/>
        </w:rPr>
        <w:t>E. 3.3</w:t>
      </w:r>
    </w:p>
    <w:p>
      <w:r>
        <w:t>Gemäss Bericht von Dr. med. F.___ , Fachärztin FMH für Kinder- und Jugendmedizin , vom 13. März 2019 lieg t bei der Versicherten eine angeborene Atrophie der Sehnerven vor, womit sie lediglich hell und dunkel unterscheiden könne . Die Physiotherapie ermögliche es ihr , die Orientierung im bekannten und unbekannten Raum zu verbessern. Der Umgang mit dem Blinden stock müsse spielerisch erlernt werden und werde gerade initiiert. Die Aufnahme in den Kindergarten sei für nächstes Jahr geplant. Aufgrund ihrer Behinderung müssten alltägliche Dinge intensiv eingeübt werden. Dies erfordere Training und Therapie sowohl im häuslichen als auch im fremden Umfeld . Die bisherigen Therapieansätze würden einen positiven Effekt auf den Aktivitätsradius und</w:t>
      </w:r>
    </w:p>
    <w:p>
      <w:r>
        <w:t>i nten sität</w:t>
      </w:r>
    </w:p>
    <w:p>
      <w:r>
        <w:t>der Versicherten zeigen (Urk. 8/37/4) .</w:t>
      </w:r>
    </w:p>
    <w:p>
      <w:r>
        <w:rPr>
          <w:b/>
        </w:rPr>
        <w:t>E. 3.4</w:t>
      </w:r>
    </w:p>
    <w:p>
      <w:r>
        <w:t>Dr. med. G.___ , Fachärztin FMH für Kinder- und Jugend medizin, führte in ihrem Bericht vom 26. November 2020 zuhanden der IV-Stelle aus, bei der Versicherten liege eine beidseitige schwere Visusminderung vor auf g rund einer ebenfalls beidseits b estehenden Anlagestörung der Sehnerven. Diese gehöre zum Spektrum der septooptischen Dysplasie. Häufig vergesellschaftet und auch bei der Versicherten vorliegend sei en ein Entwicklungsrückstand insbe sondere der Sprache sowie auch motorische Stereotypien. Auch autismusnahes Verhalten sei nicht selten. In der Untersuchungssituation sei O.___ jeweils sehr ängstlich und lasse sich nur zögerlich ein. Ihre Muskulatur wirke hypoton. Sie sei eher lax, habe aber einen guten Kraftaufbau und könne aus dem Sitzen ohne Zuhilfenahme der Hände aufstehen und auch laufen. Es gebe aber weiterhin viele Dinge, die in der Physiotherapie geübt werden sollten. So habe O.___ eine Bevorzugung des Zehenganges, brauche Unterstützung bei der Orientierung im Raum und sollte diesbezüglich auch die Benutzung von Hilfsmitteln wie einem Stock erlernen. Das Therapieziel der Physiotherapie sei das Erlangen einer gewissen Selbständigkeit, wobei dies aufgrund der kognitiven Einschränkung sicher noch einige Zeit in Anspruch nehmen werde (Urk. 8/ 43/5).</w:t>
      </w:r>
    </w:p>
    <w:p>
      <w:r>
        <w:rPr>
          <w:b/>
        </w:rPr>
        <w:t>E. 3.5</w:t>
      </w:r>
    </w:p>
    <w:p>
      <w:r>
        <w:t>Dr. med. H.___ , Fachärztin FMH für Kinder- und Jugendmedizin, führte in ihrem undatierten Bericht (Eingang bei der IV-Stelle am 6. Januar 2021) unter Diagnosen eine Opticushypoplasie beidseits (ED 04/2015) sowie einen Zustand nach Kernikterus bei AB 0 -Inkompabilität (09/2014) an. Sie berichtete über eine verzögerte Sprachentwicklung mit Tendenz auf Verbesserung sowie über stereotypische, dyskinetische Bewegungen (Urk. 8/46). Die Frage, ob ein behin derungsbedingter Mehraufwand an Hilfeleistungen oder persönlicher Über wachung im Vergleich zu einem Nichtbehinderten gleichen Alters bestünden, bejahte die Ärztin ohne indessen Näheres auszuführen (Urk. 8/46/2). 3.</w:t>
      </w:r>
    </w:p>
    <w:p>
      <w:r>
        <w:rPr>
          <w:b/>
        </w:rPr>
        <w:t>E. 5</w:t>
      </w:r>
    </w:p>
    <w:p>
      <w:r>
        <w:t>Gemäss Art. 42 bis Abs. 5 IVG haben Minderjährige keinen Anspruch auf eine Hilflosenentschädigung, wenn sie lediglich auf lebenspraktische Begleitung ange wiesen sind. Bei ihnen ist zudem nur der Mehrbedarf an Hilfeleistung und persönlicher Überwachung im Vergleich zu nicht behinderten Minderjährigen gleichen Alters zu berücksichtigen (Art. 37 Abs. 4 IVV). Diese Sonderregelung trägt dem Umstand Rechnung, dass bei Kleinkindern eine gewisse Hilfs- und Über wachungsbedürftigkeit auch bei voller Gesundheit besteht. Massgebend für die Bemessung der Hilflosigkeit bei diesen Versicherten ist daher der Mehrauf wand an Hilfeleistung und persönlicher Überwachung im Vergleich zu einem nicht invaliden Minderjährigen gleichen A lters.</w:t>
      </w:r>
    </w:p>
    <w:p>
      <w:r>
        <w:rPr>
          <w:b/>
        </w:rPr>
        <w:t>E. 5.1</w:t>
      </w:r>
    </w:p>
    <w:p>
      <w:r>
        <w:t>Das Beschwerdeverfahren bei Streitigkeiten über IV-Leistungen vor dem kanto nalen Versicherungsgericht ist kostenpflichtig. Die Kosten werden nach dem Ver fahrensaufwand und unabhängig vom Streitwert im Rahmen von Fr. 200.-- bis Fr. 1'000.-- festgelegt (Art. 69 Abs. 1 bis IVG). Im vorliegenden Verfahren sind sie ermessensweise auf Fr. 600.-- anzusetzen. Nach ständiger Rechtsprechung gilt die Rückweisung der Sache an die Verwaltung zur weiteren Abklärung und neuen Verfügung als vollständiges Obsiegen (BGE 137 V 210 E. 7.1, 137 V 57 E. 2.2), wes halb die Gerichtskosten der unterliegenden Beschwerdegegnerin aufzuerlegen sind.</w:t>
      </w:r>
    </w:p>
    <w:p>
      <w:r>
        <w:rPr>
          <w:b/>
        </w:rPr>
        <w:t>E. 5.2</w:t>
      </w:r>
    </w:p>
    <w:p>
      <w:r>
        <w:t>Der Beschwerdeführer in respektive ihrer Mutter ist keine Prozessent schädigung zuzusprechen, da ihr Arbeitsaufwand und ihre Umtriebe im vorliegenden Verfah ren nicht den Rahmen dessen überschritten, was der Einzelne zumutbarerweise nebenbei zur Besorgung seiner persönlichen Angelegenheiten auf sich zu nehmen hat.</w:t>
      </w:r>
    </w:p>
    <w:p>
      <w:r>
        <w:rPr>
          <w:b/>
        </w:rPr>
        <w:t>E. 6</w:t>
      </w:r>
    </w:p>
    <w:p>
      <w:r>
        <w:t>Es wurde eine Minderheitmeinung zu Protokoll gegeben (Begründung: Urk. 10). Das Gericht erkennt: 1.</w:t>
      </w:r>
    </w:p>
    <w:p>
      <w:r>
        <w:t>Die Beschwerde wird in dem Sinne gutgeheissen, dass die Verfügung der Sozialver sicherungsanstalt des Kantons Zürich, IV-Stelle, vom 7. Juni 2021 aufgehoben und die Sache an die Beschwerdegegnerin zurückgewiesen wird, damit diese, nach erfolgter Abklärung im Sinne der Erwägungen, neu verfüge. 2.</w:t>
      </w:r>
    </w:p>
    <w:p>
      <w:r>
        <w:t>Die Gerichtskosten von Fr. 600.-- werden der Beschwerdegegnerin auferlegt. Rechnung und Einzahlungsschein werden der Kostenpflichtigen nach Eintritt der Rechtskraft zugestellt. 3.</w:t>
      </w:r>
    </w:p>
    <w:p>
      <w:r>
        <w:t>Der Beschwerdeführerin wird keine Prozessentschädigung zugesprochen. 4.</w:t>
      </w:r>
    </w:p>
    <w:p>
      <w:r>
        <w:t>Zustellung gegen Empfangsschein an: - Y.___ , unter Beilage einer Kopie von Urk.</w:t>
      </w:r>
    </w:p>
    <w:p>
      <w:r>
        <w:rPr>
          <w:b/>
        </w:rPr>
        <w:t>E. 10</w:t>
      </w:r>
    </w:p>
    <w:p>
      <w:r>
        <w:t>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VogelR. Müller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