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IV.2021.00419 vom 4. April 2022</w:t>
      </w:r>
    </w:p>
    <w:p>
      <w:r>
        <w:t>ZH Sozialversicherungsgericht, 2022-04-04, DE</w:t>
      </w:r>
    </w:p>
    <w:p>
      <w:r>
        <w:rPr>
          <w:b/>
        </w:rPr>
        <w:t xml:space="preserve">Quelle: </w:t>
      </w:r>
      <w:r>
        <w:t>https://mcp.opencaselaw.ch/entscheid/zh_sozialversicherungsgericht_IV.2021.00419</w:t>
      </w:r>
    </w:p>
    <w:p>
      <w:r>
        <w:t>FR: ZH_SOZIALVERSICHERUNGSGERICHT IV.2021.00419 du 4 avril 2022</w:t>
      </w:r>
    </w:p>
    <w:p>
      <w:r>
        <w:t>IT: ZH_SOZIALVERSICHERUNGSGERICHT IV.2021.00419 del 4 aprile 2022</w:t>
      </w:r>
    </w:p>
    <w:p>
      <w:pPr>
        <w:pStyle w:val="Heading2"/>
      </w:pPr>
      <w:r>
        <w:t>Erwägungen</w:t>
      </w:r>
    </w:p>
    <w:p>
      <w:r>
        <w:rPr>
          <w:b/>
        </w:rPr>
        <w:t>E. 1</w:t>
      </w:r>
    </w:p>
    <w:p>
      <w:r>
        <w:t>9. April 2004 eine vom 1. November 2002 bis 3 1. März 2004 befristete ganze Rente samt Kinderrente zu ( Urk. 6/29 und Urk. 6/33).</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w:t>
      </w:r>
    </w:p>
    <w:p>
      <w:r>
        <w:t>den bis zum Zeitpunkt des Erlasses der streitigen Verfügung beziehungsweise des streitigen Einspracheentscheids eingetretenen Sachverhalt abstellt (BGE 144 V 210 E. 4.3.1, 132 V 215 E. 3.1.1, je mit Hinweisen), sind vorliegend die bis</w:t>
      </w:r>
    </w:p>
    <w:p>
      <w:r>
        <w:t>31. Dezember 2021 gültig gewesenen Rechtsvorschriften anwendbar, die nach folgend auch in dieser Fassung zitiert werden.</w:t>
      </w:r>
    </w:p>
    <w:p>
      <w:r>
        <w:rPr>
          <w:b/>
        </w:rPr>
        <w:t>E. 1.2</w:t>
      </w:r>
    </w:p>
    <w:p>
      <w:r>
        <w:t>Invalidität ist die voraussichtlich bleibende oder längere Zeit dauernde ganze oder</w:t>
      </w:r>
    </w:p>
    <w:p>
      <w:r>
        <w:t>teilweise Erwerbsunfähigkeit (Art. 8 Abs. 1 ATSG). Erwerbsunfähigkeit ist</w:t>
      </w:r>
    </w:p>
    <w:p>
      <w:r>
        <w:t>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w:t>
      </w:r>
    </w:p>
    <w:p>
      <w:r>
        <w:rPr>
          <w:b/>
        </w:rPr>
        <w:t>E. 1.5</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 nbereich von Bedeutung (BGE 141 V 9 E. 2.3, 134 V</w:t>
      </w:r>
    </w:p>
    <w:p>
      <w:r>
        <w:t>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 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w:t>
      </w:r>
    </w:p>
    <w:p>
      <w:r>
        <w:t>343 E. 3.4.2, 128 V 29 E. 1). 1.</w:t>
      </w:r>
    </w:p>
    <w:p>
      <w:r>
        <w:rPr>
          <w:b/>
        </w:rPr>
        <w:t>E. 3</w:t>
      </w:r>
    </w:p>
    <w:p>
      <w:r>
        <w:t>0. August</w:t>
      </w:r>
    </w:p>
    <w:p>
      <w:r>
        <w:t>2018 meldete sich d ie V ersicherte, welche zwischenzeitlich von August 2008 bis August 2014 in einem Teilzeitpensum beim Schulamt Y.___ in der Betreuung gearbeitet hatte ( Urk. 6/50 Ziff. 5.4), unter Hinweis auf eine seit 1996 bestehende Polyarthritis und seit etwa 2007 bestehende Rücken beschwerden bei der Invalidenversicherung zum Leistungsbezug an (Urk. 6/50 Ziff. 6.1).</w:t>
      </w:r>
    </w:p>
    <w:p>
      <w:r>
        <w:t>Die IV-Stelle klärte den medizinischen Sachverhalt ab</w:t>
      </w:r>
    </w:p>
    <w:p>
      <w:r>
        <w:t>und veranlasste eine Haushaltsabklärung, über welche am 8. März 2019 Bericht erstattet wurde ( Urk. 6/63). Mit Vorbescheid vom 2 3. April 2019 stellte die IV-Stelle die Ausrich tung einer halben Rente ab 1. Februar 2019 in Aussicht ( Urk. 6/69). Nach am 2 1. Mai 2019 von de r Versicherten dagegen erhobene r Einsprache ( Urk. 6/76) nahm die IV-Stelle weitere Abklärungen vor und veranlasste bei Dr. med. Z.___ , Facharzt für Rheumatologie und für Allgemeine Innere Medizin, ein rheu matologisches Gutachten, welches am 5. Mai 2020 erstattet wurde ( Urk. 6/94). Zu der von der Versicherten am 2 4. Juni 2020 geäusserten Kritik ( Urk. 6/96) nahm Dr. Z.___ am 1 5. Juli 2020 Stellung ( Urk. 6/ 98). Nach durchgeführtem Vorbe scheidverfahren ( Urk. 6/105; Urk. 6/106) sprach die IV-Stelle der Versicherten mit Verfügung vom 2. Juni 2021 ab 1. Februar 2019 eine Viertelsrente zu ( Urk. 2). 2.</w:t>
      </w:r>
    </w:p>
    <w:p>
      <w:r>
        <w:t>Die Versicherte erhob am 2 1. Juni 2021 Beschwerde gegen die Verfügung der IV Stelle vom 2. Juni 2021 ( Urk. 2) und beantragte, diese sei aufzuheben und es sei ihr ab 1. Februar 2019 eine halbe Rente der Invalidenversicherung zuzu sprechen. Eventuell sei das Verfahren an die IV-Stelle zurückzuweisen, mit der Verpflich tung, eine ergänzende Stellungnahme von Dr. med. A.___ , Facharzt für Rheumatologie, betreffend die attestierte Arbeitsfähigkeit von 20 % bis 30 % ein zuholen. Eventuell sei das Verfahren an die IV-Stelle zur Durchfüh rung einer Haushaltsabklärung unter Berücksichtigung der medizinischen Beur teilung von Dr. Z.___ vom 5. Mai 2020, in welcher eine mindestens 50%i ge Ein schränkung im Haushaltsbereich attestiert werde, zurückzuweisen ( Urk. 1 S.</w:t>
      </w:r>
    </w:p>
    <w:p>
      <w:r>
        <w:t>1).</w:t>
      </w:r>
    </w:p>
    <w:p>
      <w:r>
        <w:t>Mit Beschwerdeantwort vom 5. August 2021 beantragte die IV-Stelle, die Beschwerde sei abzuweisen ( Urk. 5), was der Beschwerdeführerin am 1 2. August 2021 zur Kenntnis gebracht wurde ( Urk. 7). Das Gericht zieht in Erwägung: 1.</w:t>
      </w:r>
    </w:p>
    <w:p>
      <w:r>
        <w:rPr>
          <w:b/>
        </w:rPr>
        <w:t>E. 7</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versicherte Person durch die Teilerwerbstätigkeit erzielen könnte, wenn sie nicht invalid geworden wäre, auf eine Vollerwerbstätigkeit hochgerechnet wird (Art. 27 bis Abs. 3 lit. a IVV) und die prozentuale Erwerbseinbusse anhand des Beschäf tigungsgrads, den die versicherte Person hätte, wenn sie nicht invalid geworden wäre, gewichtet wird (Art. 27 bis Abs. 3 lit.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b und einer Vollerwerbstätigkeit gewichtet ( Art. 27 bis</w:t>
      </w:r>
    </w:p>
    <w:p>
      <w:r>
        <w:t>Abs. 4 IVV). 1.</w:t>
      </w:r>
    </w:p>
    <w:p>
      <w:r>
        <w:rPr>
          <w:b/>
        </w:rPr>
        <w:t>E. 7.1</w:t>
      </w:r>
    </w:p>
    <w:p>
      <w:r>
        <w:t>Hinsichtlich der Qua lifikation ist gestützt auf den beweiswertigen Haushalt abklärungsbericht vom</w:t>
      </w:r>
    </w:p>
    <w:p>
      <w:r>
        <w:t>8. März 201 9 (vorstehend E. 6) davon auszugeh en, dass die Beschwerdeführerin zum Zeitpunkt des hypothetischen Rentenbeginns per 1. Februar 201 9 als zu 6 0 % Erwerbstätige und zu 4 0 % im Haushalt Tätige zu qualifizieren ist (Urk. 6/63 Ziff. 2.6).</w:t>
      </w:r>
    </w:p>
    <w:p>
      <w:r>
        <w:t>Entsprechend ist der Invaliditätsgrad in Anwendung der gemischten Methode</w:t>
      </w:r>
    </w:p>
    <w:p>
      <w:r>
        <w:t>im</w:t>
      </w:r>
    </w:p>
    <w:p>
      <w:r>
        <w:t>Sinne von Art. 28a Abs. 3 IVG zu bemessen ( vorstehend E. 1. 6 - 7 ). Ausgehend von der vorgenommenen Qualifikation ist nachfolgend zu prüfen, ob die Beschwerdegegnerin den Invaliditätsgrad der Beschwerdeführerin korrekt bemes sen hat. 7.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 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 7 . 3</w:t>
      </w:r>
    </w:p>
    <w:p>
      <w:r>
        <w:t>Die Beschwerdegegnerin ermittelte gestützt auf den Auszug aus dem individuel len Konto (IK-Auszug; vgl. Urk. 6/66)</w:t>
      </w:r>
    </w:p>
    <w:p>
      <w:r>
        <w:t>aus dem Durchschnitt des von der Beschwerdeführerin bei Y.___ mit ihrer Betreuungstätigkeit ( Urk. 6/50 Ziff. 5.4) in den Jahren 2011 bis 2013 erzielten Einkommens auf den Zeitpunkt des hypothetischen Rentenbeginns ein Valideneinkommen von rund Fr. 43'888.- - in einem 60%-Pensum respektive von rund Fr. 73’146.-- aufgerechnet auf ein Vollzeitpensum ( Urk. 6/64, Urk. 6/102) . Dies blieb von der Beschwerdeführerin unbestritten (vorstehend E. 2.2) und ist auch nicht zu beanstanden, weshalb von diesem Wert auszugehen ist. 7 . 4</w:t>
      </w:r>
    </w:p>
    <w:p>
      <w:r>
        <w:t>Für die Bestimmung des Invalideneinkommens können nach der Rechtsprechung Tabellenlöhne gemäss den vom Bundesamt für Statistik periodisch herausge gebenen Lohnstrukturerhebungen (LSE) herangezogen werden (BGE 139 V 592 E. 2.3, 135 V 297 E. 5.2, 129 V 472 E. 4.2.1). Dabei sind grundsätzlich die im Ver 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w:t>
      </w:r>
    </w:p>
    <w:p>
      <w:r>
        <w:t>Bundesgesetz über die Invalidenversicherung, 3. Auflage 2014, Rn 55 und 89 zu Art. 28a, mit weiteren Hinweisen auf die Rechtsprechung). 7 . 5</w:t>
      </w:r>
    </w:p>
    <w:p>
      <w:r>
        <w:t>Gemäss den Feststellungen im rheumatologischen Gutachten von Dr. Z.___ vom 5. Mai 2020</w:t>
      </w:r>
    </w:p>
    <w:p>
      <w:r>
        <w:t>war der Beschwerdeführerin ab rentenrel e vante m Zeitraum ab 1. Februar 2019 eine leidensadaptier te Tätigkeit im Umfang von 50 % zumutbar . Im Jahr 201 8 belief sich der Medianlohn von Fr auen, Kompetenzniveau 1, gemäss LSE 201 8 auf Fr. 4‘3 7 1 .-- pro Monat (LSE 201 8 , Tabelle TA1, Total, Frauen, Kom petenzniveau 1). Umgerechnet auf die betriebsübliche wöchentliche Arbeitszeit von 41,7 Stunden (Betriebsübliche Arbeitszeit nach Wirtschaftsabteilungen in Stunden pro Woche, Total; vgl. www. bfs.admin.ch, Statistiken, Arbeit und Erwerb) und unter Berücksichtigung der Nominallohnentwicklung von 1 % im Jahr 201 9 (vgl. Nominallohnindex, Frauen, 201 6 -201 9, Tabelle T1.2.15, Total) resultiert bei dem noch möglichen 50 %-Pe nsum ein Invalideneinkommen von rund Fr. 27’614 .-- im Jahr 201 9 ( Fr. 4'371.-- : 40 x 41.7 x 12 x</w:t>
      </w:r>
    </w:p>
    <w:p>
      <w:r>
        <w:rPr>
          <w:b/>
        </w:rPr>
        <w:t>E. 8</w:t>
      </w:r>
    </w:p>
    <w:p>
      <w:r>
        <w:t>Die Arbeitsunfähigkeit im Sinne von Art. 28 Abs. 1 lit. b IVG entspricht der Ein busse an funktionellem Leistungsvermögen im bisherigen Beruf oder Aufgaben bereich (Art. 6 ATSG; BGE 130 V 97 E. 3.2). Bei der Bemessung der Invalidität von im Haushalt tätigen Versicherten ist die Schadenminderungspflicht von erheb licher Relevanz. Nach der Rechtsprechung ist dabei vom Grundsatz auszu gehen, dass einem Leistungsansprecher im Rahmen der Schadenminderungs pflicht Massnahmen zuzumuten sind, die ein vernünftiger Mensch in der gleichen Lage ergreifen würde, wenn er keinerlei Entschädigung zu erwarten hätte. Für die im Haushalt tätigen Versicherten bedeutet dies, dass sie Verhaltensweisen zu ent wickeln haben, welche die Auswirkungen der Behinderung im hauswirtschaftli 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 lienangehörigen geht daher weiter als die ohne Gesundheitsschädigung üblicherweise zu erwartende Unterstützung. Geht es um die Mitarbeit von Fami lienangehörigen, ist danach zu fragen, wie sich eine vernünftige Familiengemein schaft einrichten würde, wenn keine Versicherungsleistungen zu erwarten wären. Dabei darf nach der Rechtsprechung unter dem Titel der Schadenminderungs 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Schliess lich vermag die Tatsache, dass sich die der Rechtsprechung zugrunde liegenden, in Art. 159 Abs. 2 und 3 ZGB zwischen den Ehegatten und in Art. 272 ZGB zwischen Eltern und Kindern statuierten Beistandspflichten nicht unmittel bar durchsetzen lassen (d.h. weder klagbar noch vollstreckbar sind), sondern nur freiwillig erfüllt werden können, an der Schadenminderungspflicht der im Haus halt beschäftigten Versicherten nichts zu ändern. Denn wie auch im Erwerbs bereich darauf abzustellen ist, ob die verbleibende Erwerbsfähigkeit auf einem ausgeglichenen Arbeitsmarkt grundsätzlich verwertbar ist, unabhängig davon, ob eine solche Anstellung rechtlich durchsetzbar ist, ist auch in Bezug auf den Haus haltbereich davon auszugehen, was in der sozialen Realität üblich und zumutbar ist, unabhängig davon, ob eine Mithilfe rechtlich durchsetzbar ist (BGE 133 V 504 E. 4.2 mit Hinweisen). 1.</w:t>
      </w:r>
    </w:p>
    <w:p>
      <w:r>
        <w:rPr>
          <w:b/>
        </w:rPr>
        <w:t>E. 9</w:t>
      </w:r>
    </w:p>
    <w:p>
      <w:r>
        <w:t>Die von einer qualifizierten Person durchgeführte Abklärung vor Ort (nach Mass gabe des Art. 69 Abs. 2 IVV; vgl. auch Rz.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plausi bel, begründet und angemessen detailliert bezüglich der einzelnen Ein schränkun gen sein sowie in Übereinstimmung mit den an Ort und Stelle erhobe nen Angaben stehen.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 ten Person, die im Widerspruch zu den ärztlichen Befunden stehen. Zwar ist der Abklärungsbericht seiner Natur nach in erster Linie auf die Ermittlung des Aus 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 gerichts 8C_817/2013 vom 28. Mai 2014 E. 5.1). 1.</w:t>
      </w:r>
    </w:p>
    <w:p>
      <w:r>
        <w:rPr>
          <w:b/>
        </w:rPr>
        <w:t>E. 10</w:t>
      </w:r>
    </w:p>
    <w:p>
      <w:r>
        <w:t>x 0.5).</w:t>
      </w:r>
    </w:p>
    <w:p>
      <w:r>
        <w:t>Ein leidensbedingter Abzug hiervon wurde von der Beschwerdeführerin zu Recht nicht geltend gemacht, biete t doch weder ihr Alter noch die Notwendigkeit einer Teilzeittätigkeit (vgl. Urteile des Bundesgerichts 8C_712/2012 vom 30. November 2012 E. 4.2.2 unter Bezugnahme auf LSE 2008 und 2010 und 9C_72/2017 vom 19. Juli 2017 E. 4.3 unter Bezugnahme auf LSE 2012 und 2014; vgl. Monatlicher Bruttolohn nach Beschäftigungsgrad, beruflicher Stellung und Geschlecht, Bun desamt für Statistik, 2018, T18) oder das allfällige Angewiesensein auf einen rücksichtsvollen Arbeitgeber (Urteil des Bundesgerichts 9C_266/2017 vom 29. Mai 2018 E. 3.4.2; vgl. auch Urteil 9C_233/2018 vom 11. April 2019 E. 3.2 mit Hinweisen) einen Abzugsgrund. 7. 6</w:t>
      </w:r>
    </w:p>
    <w:p>
      <w:r>
        <w:t>Ausgehend von dem auf ein 100 % - Pensum hochgerechneten Valideneinkommen</w:t>
      </w:r>
    </w:p>
    <w:p>
      <w:r>
        <w:t>von Fr. 73’146.-- und dem noch erzielbaren Invalideneinkommen von Fr. 27’614.-- resultiert eine Einkommenseinbusse von Fr. 45'532.--, was einer Ein schränkung im Erwerbsbereich von 62.25 %, beziehungsweise einem Teil invaliditätsgrad von rund 37 % entspricht ( 0.6 x 62.25). Addiert mit dem Teil invaliditä tsgrad im Haushaltsbereich von 6.4 % ( 0.4 x 16; vorstehend E. 6.4 ) beläuft sich der Gesamtinvaliditätsgrad auf rund 4 3 %, was ab 1. Februar 2019 Anspruc h auf eine Viertelsrente vermittelt. 7. 7</w:t>
      </w:r>
    </w:p>
    <w:p>
      <w:r>
        <w:t>Zusammenfassend ist somit festzuhalten, dass die Beschwerdeführerin ab 1. Feb ruar 2019 Anspruch auf eine Viertelsrente hat.</w:t>
      </w:r>
    </w:p>
    <w:p>
      <w:r>
        <w:t>Die angefochtenen Verfügungen (Urk. 2) erweisen sich demnach als korrekt, was zur Abweisung der Beschwerde führt.</w:t>
      </w:r>
    </w:p>
    <w:p>
      <w:r>
        <w:t>8.</w:t>
      </w:r>
    </w:p>
    <w:p>
      <w:r>
        <w:t>Da es um die Bewilligung oder Verweigerung von Versicherungsleistungen geht, ist das Verfahren kostenpflichtig. Die Gerichtskosten sind unabhängig vom Streit wert festzulegen (Art. 69 Abs. 1 bis IVG) und auf Fr. 8 00.-- anzusetzen. Entspre chend dem Ausg ang des Verfahrens sind sie der unterliegenden Beschwerde 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Sonja Zumstein-Sala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