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IV.2021.00341 vom 1. Februar 2022</w:t>
      </w:r>
    </w:p>
    <w:p>
      <w:r>
        <w:t>ZH Sozialversicherungsgericht, 2022-02-01, DE</w:t>
      </w:r>
    </w:p>
    <w:p>
      <w:r>
        <w:rPr>
          <w:b/>
        </w:rPr>
        <w:t xml:space="preserve">Quelle: </w:t>
      </w:r>
      <w:r>
        <w:t>https://mcp.opencaselaw.ch/entscheid/zh_sozialversicherungsgericht_IV.2021.00341</w:t>
      </w:r>
    </w:p>
    <w:p>
      <w:r>
        <w:t>FR: ZH_SOZIALVERSICHERUNGSGERICHT IV.2021.00341 du 1 février 2022</w:t>
      </w:r>
    </w:p>
    <w:p>
      <w:r>
        <w:t>IT: ZH_SOZIALVERSICHERUNGSGERICHT IV.2021.00341 del 1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 unbenommen, eine Sache zurückzuweisen, wenn lediglich eine Klarstellung, Präzisierung oder Ergänzung von gutachter lichen Ausführungen erforderlich ist (B GE 139 V 99 E. 1.1, 137 V 210 E. 4.4.1.4 mit Hinweisen; Urteil des Bundesgerichts 9C_354/2020 vom 8. September 2020 E. 2.1) . 2.</w:t>
      </w:r>
    </w:p>
    <w:p>
      <w:r>
        <w:t>2 .1</w:t>
      </w:r>
    </w:p>
    <w:p>
      <w:r>
        <w:t>Vorab zu prüfen ist, ob die angefochtene Verfügung vom 2 2. April 2021 ( Urk. 2) eine Bindungswirkung für die Beschwerdeführerin entfaltet, ihr damit ein schüt zenswertes Interesse an der Aufhebung oder Änderung derselben zukommt und sie demzufolge beschwerdelegitimiert ist.</w:t>
      </w:r>
    </w:p>
    <w:p>
      <w:r>
        <w:rPr>
          <w:b/>
        </w:rPr>
        <w:t>E. 2</w:t>
      </w:r>
    </w:p>
    <w:p>
      <w:r>
        <w:t>Dagegen erhob die Swisscanto Sammelstiftung der Kantonalbanken am 1 9. Mai 2021 Beschwerde mit dem Rechtsbegehren, die angefochtene Verfügung sei auf zuheben und die Sache sei an die IV-Stelle zurückzuweisen , damit diese auf die im Vorbescheidverfahren erhobenen Einwände eingehe und neu verfüge. Even tualiter seien die Verfügung aufzuheben und der Beginn der einjährigen Warte zeit sowie der Rente neu festzulegen ( Urk. 1 S. 1). Mit Beschwerdeantwort vom 2 4. September 2021 beantragte die Beschwerdegegnerin die teilweise Gutheis sung der Beschwerde im Sinne einer Rückweisung zur weiteren Abklärung des medizinischen Sachverhalts ( Urk. 8). Mit Verfügung vom 5. Oktober 2021 wurde X.___ zum Prozess beigeladen ( Urk. 10), welcher sich vertreten durch Rechtsanwältin Aurelia Jenny mit Stellungnahme vom 2 4. November 2021 dem Antrag der Beschwerdegegnerin anschloss ( Urk. 13). Mit Verfügung vom 2 9. November 2021 wurde der Beschwerdeführerin Frist angesetzt , um zu den Eingaben der anderen Verfahrensparteien Stellung zu nehmen , mit der Androhung, dass von einem Verzicht ausgegangen werde, falls innert Frist keine Stellungnahme eingereicht werde ( Urk. 15). Die angesetzte Frist zur Stellung nahme lief ungenutzt ab. Das Gericht zieht in Erwägung: 1.</w:t>
      </w:r>
    </w:p>
    <w:p>
      <w:r>
        <w:rPr>
          <w:b/>
        </w:rPr>
        <w:t>E. 2.2</w:t>
      </w:r>
    </w:p>
    <w:p>
      <w:r>
        <w:t>mit Hinwei sen). 2 .3</w:t>
      </w:r>
    </w:p>
    <w:p>
      <w:r>
        <w:t>Die Beschwerdeführerin wurde ins Vorbescheidverfahren einbezogen (vgl. Urk. 9/104, 9/107 und 9/110 ) und ihr wurde der Rentenentscheid eröffnet (U rk. 2). Der Rentenanspruch entsteht frühestens nach Ablauf von sechs Monaten nach dessen Geltendmachung ( Art. 29 Abs. 1 IVG) und setzt voraus, dass die versicherte Person während eines Jahres ohne wesentlichen Unterbruch durch schnittlich mindestens 40 %</w:t>
      </w:r>
    </w:p>
    <w:p>
      <w:r>
        <w:t>in der angestammten Tätigkeit arbeitsunfähig gewe sen ist ( Art. 28 Abs. 1 lit . b IVG). Der Versicherte</w:t>
      </w:r>
    </w:p>
    <w:p>
      <w:r>
        <w:t>hatte sich am 1 1. April 2019 zum Leistungsbezug angemeldet (Urk. 9/39 ) ; die das Wartejahr eröffnende Arbeitsunfähigkeit legte die Beschwerdegegnerin auf den 4. August 2018 fest ( Urk. 2 S. 3, Urk. 9/95/3 ). Mithin erfolgte die Anmeldung des Versicherten nicht verspätet (vgl. Urk. 9/95/3 ) und er stand im fraglichen Zeitraum in einem Vorsorgeverhältnis mit der Beschwerdeführerin ( vgl. Urk. 3/2 f.; Austritt per 1. Oktober 2018).</w:t>
      </w:r>
    </w:p>
    <w:p>
      <w:r>
        <w:t>Damit kommt der Invaliditätsbemessung und d er Festlegung des Rentenbeginns durch die IV-Stelle Bindungswirkung für die Beschwerdeführerin zu, weshalb</w:t>
      </w:r>
    </w:p>
    <w:p>
      <w:r>
        <w:t>deren</w:t>
      </w:r>
    </w:p>
    <w:p>
      <w:r>
        <w:t>Beschwerdelegitimation vorliegend zu bejahen ist. Dies wird im Übrigen auch weder von der Beschwerdegegnerin noch vom Beigeladenen</w:t>
      </w:r>
    </w:p>
    <w:p>
      <w:r>
        <w:t>in Frage gestellt. 3. 3.1</w:t>
      </w:r>
    </w:p>
    <w:p>
      <w:r>
        <w:t>In der angefochtenen Verfügung vom 2 2. April 2021 hielt die Beschwerde gegnerin zusammengefasst fest, den Beigeladenen nach seiner Anmeldung mit Eingliederungsmassnahmen in Form eines Arbeitsversuchs bei der Wiedereinglie derung unterstützt zu haben. Es bestehe kein Rentenanspruch, solange Einglie derungsmassnahmen absolviert und Taggelder beansprucht würden. Da der Beigeladene bis zum 3 0. September 2020 Taggelder bezogen habe, sei der Rentenanspruch ab Oktober 2020 geprüft worden. Seit diesem Datum arbeite er i n einem 60%-Pensum als T echnische Aushilfe; die ausgewiesene Arbeitsun fähigkeit von 40 % begründe somit den Invaliditätsgrad. Der Beginn der Warte zeit sei aufgrund der Stellungnahme des ärztlichen Dienstes vom 13. Februar 2020 auf den 4. August 2018 festgelegt worden. Der Einwand der Beschwerde führerin ändere nichts an dieser Einschätzung. Der Beigeladene habe ab dem 1. Oktober 2020 Anspruch auf eine Viertelsrente</w:t>
      </w:r>
    </w:p>
    <w:p>
      <w:r>
        <w:t>( Urk. 2 S. 3). 3.2</w:t>
      </w:r>
    </w:p>
    <w:p>
      <w:r>
        <w:t>In ihrer Beschwerdeschrift vom 1 9. Mai 2021 rügte die Beschwerdeführerin in erster Linie eine Verletzung des rechtlichen Gehörs, da die Beschwerdegegnerin nicht auf ihre im Vorbescheidverfahren erhobenen Einwände gegen die Fest stellung, dass seit dem 4. August 2018 eine Einschränkung der Arbeitsfähigkeit bestehe, eingegangen sei. Die Verletzung müsse als schwerwiegend angesehen werden und sei im konkreten Fall keiner Heilung zugänglich. Sie führe unge achtet der Erfolgsaussichten der Beschwerde in der Sache selbst zur Aufhebung der angefochtenen Verfügung. In materieller Hinsicht werde vollumfänglich auf die gegen den Vorbescheid erhobenen Einwände verwiesen. Aufgrund seines Geburtsgebrechens sei der Versicherte stets gleich eingeschränkt gewesen und habe trotz seiner degenerativen Erkrankungen an Hüfte und Knie auch nach dem 4. August 2018 noch seine bisherige Leistung erbringen können. Der vom ärzt lichen Dienst auf dieses Datum festgesetzte und von der IV-Stelle als Beginn des Wartejahres übernommene Zeitpunkt sei unbewiesen und damit willkürlich ( Urk. 1 S. 2 f.). 3.3</w:t>
      </w:r>
    </w:p>
    <w:p>
      <w:r>
        <w:t>Mit Beschwerdeantwort vom 2 4. September 2021 erachtete die Beschwerde gegnerin eine Rückweisung zur weiteren Abklärung für unumgänglich. Zur Begründung führte sie aus, die rentenzusprechende Verfügung basiere auf medi zinischen Unterlagen, die den rechtsprechungsgemässen A nforderungen, um als beweistaugliche Grundlage für eine rechtmässige Beurteilung der Invalidität zu dienen, nicht genügten. Insbesondere fehle eine rechtsgenügende Beurteilung des Gesundheitsschadens des Versicherten sowie seiner Arbeitsfähigkeit in angepass ten Tätigkeiten (U rk. 6). 3.4</w:t>
      </w:r>
    </w:p>
    <w:p>
      <w:r>
        <w:t>Mit Stellungnahme vom 2 4. November 2021 liess sich der Beigeladene dahin gehend vernehmen, dass er sich dem Antrag der Beschwerdegegnerin anschliesse und eine umfassende Abklärung seiner Ansprüche auf berufliche Massnahmen und Rente unterstütze ( Urk. 13). 4 . 4 .1</w:t>
      </w:r>
    </w:p>
    <w:p>
      <w:r>
        <w:t>Die Beschwerdegegnerin hat dem Versicherten auf der Grundlage eines Invalidi tätsgrad es von 40 % eine Viertelsrente ab 1. Oktober 2020 zugesprochen. Aus d em Feststellungsblatt geht hervor , dass sich ihre Beurteilung in medizinischer Hinsicht im Wesentlichen auf den Bericht der Universitätsklinik C.___ vom 1 7. Juni 2019 ( Urk. 9/60), den neuropsychologischen Untersuchungsbericht der Klinik A.___ vom 2 9. Januar 2020 ( Urk. 9/66) sowie die RAD-Stellungnahme vom 1 3. Februar 2020 ( Urk. 9/93) stützte. Es wurde festgehalten, dass nur schon in Anbetracht des Intelligenzquotienten des Versicherten ohne weitere Abklä run gen eine Viertelsrente zugesprochen werden könne ( Urk. 9/95/2 f.). 4.2 4.2.1</w:t>
      </w:r>
    </w:p>
    <w:p>
      <w:r>
        <w:t>Dem Bericht der Universitätsklinik C.___ vom 1 7. Juni 2019 sind folgende Diagnosen zu entnehmen ( Urk. 9/60/1): - Varusgonarthrose beidseits - Coxarthrose beidseits bei Morbus Perthes beidseits, rechts fortge schrit tener - zusätzlich Beinlängenverkürzung links.</w:t>
      </w:r>
    </w:p>
    <w:p>
      <w:r>
        <w:t>Trotz dieser radiologisch ausgewiesenen Diagnosen sei der Versicherte klinisch beschwerdefrei; entsprechend seien keine Interventionen notwendig. Sobald die Schmerzen wieder aufträten, könnte zunächst zwei Mal pro Jahr eine Infiltration durchgeführt werden, bevor ein Ersatz für das jeweilig betroffene Gelenk ange strebt werden könn t e ( Urk. 9/60/2). 4.2.2</w:t>
      </w:r>
    </w:p>
    <w:p>
      <w:r>
        <w:t>Im Rahmen der neuropsychologischen Untersuchung in der Klinik A.___ habe gemäss Bericht vom 2 9. Januar 2020 eine leichte Intelligenzminderung (ICD-10 F70.0; Gesamt-Intelligenzquotient 65) festgestellt werden können. Der Versi cherte habe ein deutlich reduziertes allgemeines kognitives Leistungsvermögen gezeigt. Ausser in den mnestischen Funktionen hätten sich funktionsübergreifend überwiegend auffällige bis beeinträchtigte Testleistungen ergeben. Das Sprach verständnis habe leicht reduziert gewirkt, bei einfacher und wenig eloquenter Spontansprache. Die Leistungsvalidierung sei unauffällig gewesen. Relative Stärken hatten sich in den mnestischen Funktionen, den Lesefertigkeiten, der visuellen Diskriminationsgeschwindigkeit, der verbal-semantischen Fluenz und der selektiven Aufmerksamkeit finden lassen. Sowohl die Asphyxie bei der Geburt als auch die zu vermutende Mutation des TPRS1-Gens im Zusammenhang mit einer tricho-rhino-phalangealen Dysplasie kämen als verursachende Faktoren der Intelligenzminderung in Frage ( Urk. 9/66/5).</w:t>
      </w:r>
    </w:p>
    <w:p>
      <w:r>
        <w:t>Sowohl die leichte Intelligenzminderung als auch das vorwiegend auffällige bis beeinträchtigte neurokognitive Leistungsprofil wirkten sich limitierend auf die Arbeitsfähigkeit und die arbeitsmarktliche Vermittlungsfähigkeit des Versicher ten aus. Womöglich habe das Anforderungsprofil seines letzten Arbeitsplatzes vor der berichteten Umstrukturierung einem geschützten Arbeitsplatz entspro chen. Ratsam sei die Evaluation des Rentenanspruchs sowie die Prüfung der Rest arbeitsfähigkeit durch die I nvalidenversicherung . Hinsichtlich einer allfälligen beruflichen Wiedereingliederung werde ein Arbeitsplatz mit vorwiegend vorstrukturierten und repetitiven Anforderungen empfohlen ( Urk. 9/66/6). 4.2.3</w:t>
      </w:r>
    </w:p>
    <w:p>
      <w:r>
        <w:t>Der RAD-Arzt Dr. Z.___</w:t>
      </w:r>
    </w:p>
    <w:p>
      <w:r>
        <w:t>hielt in seiner Stellungnahme vom 1 3. Februar 2020 fest, die Ausübung der bisherigen Tätigkeit als Hauswart sei dem Versicherten seit dem 4. August 2018 nicht mehr möglich. So sei en die Geh- und Stehfähigkeit aufgrund der Knie- und Hüftarthrosen eingeschränkt. Insbesondere das Besteigen von Leitern, häufiges Treppensteigen und Arbeiten in gebückter Haltung seien nicht zumutbar. Demgegenüber sei eine wechselbelastende, überwiegend im S itzen, gelegentlich im ebenerdigen Gehen oder Stehen auszuübende Tätigkeit medizinisch-theoretisch in einem vollen Pensum möglich. Zu beachten sei des Weiteren die Intelligenzminderung, weswegen das Lerntempo vermindert und die Lernfähigkeit für komplexere Inhalte nicht gegeben seien .</w:t>
      </w:r>
    </w:p>
    <w:p>
      <w:r>
        <w:t>Es sollte sich um leichte, einfache und gut vorstrukturierte Tätigkeiten ohne Zeit- und Termindruck sowie ausreichende Fremdkontrolle handeln ( Urk. 9/93/1). 4 .3</w:t>
      </w:r>
    </w:p>
    <w:p>
      <w:r>
        <w:t>Der Beschwerdegegnerin ist insofern beizupflichten, als ein Intelligenzquotient von unter 70 gemäss bundesgerichtlicher Praxis in der Regel zu einer vermin derten Arbeitsfähigkeit führt. Allerdings ist auch diesfalls stets eine objektive Beschreibung der Auswirkungen der festgestellten Intelligenzminderung auf das Verhalten der versicherten Person, die berufliche Tätigkeit, die normalen Verrich tungen des täglichen Lebens und das soziale Umfeld erforderlich. Zudem kommt es nicht auf die Höhe des Intelligenzquotienten an, sondern es ist immer der Gesamtheit der gesundheitlichen Beeinträchtigungen Rechnung zu tragen (Urteil e des Bundesgerichts 9C_5/2021 vom 6. Mai 2021 E. 3.3 und 9C_601/2019 vom 7. Januar 2020 E. 3.5.2, je mit Hinweisen). Vor diesem Hintergrund vermag die Argumentation der B eschwerdegegnerin, wonach nur schon angesichts de s Intel ligenzquotienten des Versicherten eine Viertelsrente zugesprochen werden könne ( Urk. 9/95/3), nicht zu überzeugen.</w:t>
      </w:r>
    </w:p>
    <w:p>
      <w:r>
        <w:t>Die angenommene 40%ige Arbeitsunfähigkeit findet keine Stütze in den medizi nischen Unterlagen , insbesondere weder im neuropsychologischen Unter suchungsbericht der Klinik A.___ ( Urk. 9/66) noch in der Aktenbeurteilung des RAD ( Urk. 9/93) .</w:t>
      </w:r>
    </w:p>
    <w:p>
      <w:r>
        <w:t>Letzterer gelangte vielmehr zur Auffassung, dem Versicherten sei es möglich, eine r leidensadaptierte n Tätigkeit in einem vollen Arbeitspensum nachzugehen. Es ist jedoch fraglich, ob dabei die mit der Intelligenzminderung einhergehenden Einschränkungen hinreichend Berücksichtigung fanden , zumal sich die Beurteilung von Dr. Z.___ insoweit als fachfremd erweist. Ausserdem mangelt es an der rechtsprechungsgemäss geforderten objektiven Beschreibung der Auswirkungen der Intelligenzminderung , da der RAD einzig auf die Lern fähigkeit respektive das Lerntempo</w:t>
      </w:r>
    </w:p>
    <w:p>
      <w:r>
        <w:t>Bezug nahm . Ausser Acht blieben schliesslich die im Rahmen der Arbeitsvermittlung Plus bei einem Arbeitsversuch mit hand werklichem Einsatz gewonnenen Erkenntnisse. So wurde seitens des involvierten Arbeitgebers nicht nur auf einen fehlenden Lernfortschritt, sondern auch auf Schwierigkeiten beim selbständigen Arbeiten und den damit einhergehenden sehr hohen Betreuungsaufwand des Werkstattleiters hingewiesen , so dass es schwierig sei, den Versicherten zum Nutzen des Unternehmens einzusetzen</w:t>
      </w:r>
    </w:p>
    <w:p>
      <w:r>
        <w:t>( Urk. 9/92/2).</w:t>
      </w:r>
    </w:p>
    <w:p>
      <w:r>
        <w:t>In der RAD-S tellungnahme wird darüber hinaus nicht hinreichend begründet , weshalb dem Versicherten die angestammte Tätigkeit als Hauswa rt ab dem 4. August 2018 (dauerhaft) nicht mehr zumutbar gewesen sein sollte. M ed. pract . D.___ , Praktischer Arzt, hatte ihm zwar vom 1 9. J uli bis 24. August 2018 eine krankheitsbedingte Arbeitsunfähigkeit attestiert (U rk. 9/30/2 f.). Er hielt überdies am 2 4. September 2018 fest, dem Versicherten sei «aktuell» eine leidens angepasste Tätigkeit ganztags zumutbar , die bisherige berufliche T ätigkeit hinge gen nicht mehr ( Urk. 9/38/3). Dem Bericht der Universitätsklinik C.___ vom 1 7. Juni 2019 kann demgegenüber entnommen werden, dass der Versicherte seit einer Hyaluronsäure-Infiltration in da s linke Knie vor ungefähr einem Jahr subjektiv beschwerdefrei sei und uneingeschränkt als Hauswart arbeite. Auch im Haushalt habe er keine Probleme und wünsche daher derzeit keine weitere Inter vention ( Urk. 9/60/1). Andererseits bestand die Tätigkeit als Hauswart auch aus Treppensteigen mit Gewichten und vielem Stehen, was Mühe bereitete (Urk.</w:t>
      </w:r>
    </w:p>
    <w:p>
      <w:r>
        <w:t>9/36/2), sodann beurteilte die Orthopädin Dr. med. E.___ schon im Mai 2018 die gesundheitliche Situation mit der auch noch vorhandenen schweren Coxarthrose rechts mit Hüftkopfnekrose dahingehend, dass eigentlich die Indika tion für eine Implantation einer Hüfttotalendoprothese bestehen würde, darauf wurde jedoch aufgrund des komplizierten Eingriffs und weil der Versicherte noch keine Beschwerden in der Hüfte hatte , verzichtet (Urk.</w:t>
      </w:r>
    </w:p>
    <w:p>
      <w:r>
        <w:t>9/30 /1 ).</w:t>
      </w:r>
    </w:p>
    <w:p>
      <w:r>
        <w:t>In somatischer Hinsicht bestehen vor diesem Hintergrund ebenfalls Unklarheiten in Bezug auf den Verlauf der Arbeitsfähigkeit in der langjährig ausgeübten Tätigkeit als Hauswart , was un ter anderem für die Anspruchsvoraussetzung des Wartejahres nach Art. 28 Abs. 1 lit . b IVG (vgl. vorstehende E. 1.3) von Relevanz ist. Diese Arbeitsfähigkeit wird näher abzuklären sein. Dabei gilt es zu berück sichtigen, dass als arbeitsunfähig gilt , wer infolge eines Gesundheitsschadens die bisherige Tätigkeit nicht mehr, nur noch beschränkt oder nur unter der Gefahr, den Gesundheitszustand zu verschlimmern, ausüben kann . Diese Konkretisie rungen des Begriffs der Arbeitsunfähigkeit, wie sie vor dem Inkrafttreten des ATSG gegolten haben, sind auch für die Auslegung von Art. 6 ATSG weiterhin massgebend (BGE 130 V 343 E. 3.1).</w:t>
      </w:r>
    </w:p>
    <w:p>
      <w:r>
        <w:t>4.4</w:t>
      </w:r>
    </w:p>
    <w:p>
      <w:r>
        <w:t>Gesamthaft bestehen zumindest geringe Zweifel an der Zuverlässigkeit und Schlüssigkeit der RAD-Stellungnahme, weshalb darauf nicht abgestellt werden kann (vgl. BGE 145 V 97 E. 8.5, 142 V 58 E. 5.1 mit Hinweisen) und auch die übrigen Akten klären die massgeblichen Fragen nicht abschliessend . In Anbe tracht des geltenden Untersuchungsgrundsatzes ( Art. 43 Abs. 1 ATSG) erweisen sich weitere medizinische Abklärungen für unumgänglich, damit über de n Leis tungsanspruch zumindest mit dem Beweisgrad der überwiegenden Wahrschein lichkeit entschieden werden kann ( vgl. Urteil des Bundesgerichts 9C_721/2019 vom 27. Mai 2020 E. 3 mit Hinweisen). 5 .</w:t>
      </w:r>
    </w:p>
    <w:p>
      <w:r>
        <w:t>Zusammenfassend ist festzuhalten, dass sich die medizinische Aktenlage für eine abschliessende Beurteilung der Arbeitsfähigkeit des Beigeladenen und damit des Invaliditätsgrades als unzulänglich erweist. Folglich ist die angefochtene Verfü gung vom 2 2. April 2021 (Urk. 2) entsprechend dem Antrag der Beschwerde gegnerin sowie des Beigeladenen</w:t>
      </w:r>
    </w:p>
    <w:p>
      <w:r>
        <w:t>aufzuheben und die Sache ist an die Beschwer degegnerin zurückzuweisen, damit diese nach ergänzender Abklärung im Sinne der obigen Erwägungen eine neue Beurteilung vornehme und sodann über den Leistungsanspruch neu verfüge.</w:t>
      </w:r>
    </w:p>
    <w:p>
      <w:r>
        <w:t>Bei diesem Verfahrensausgang kann dahingestellt bleiben, ob wie beschwerde weise geltend gemacht ( Urk. 1 S. 2 f.) eine der Heilung nicht zugängliche Verletzung der Begründungspflicht als Teilgehalt</w:t>
      </w:r>
    </w:p>
    <w:p>
      <w:r>
        <w:t>des rechtlichen Gehörs vorliegt, da auch in diesem Fall die Aufhebung des angefochtenen Entscheids samt Rück weisung der Sache an die Beschwerdegegnerin die Rechtsfolge wäre. Nichts destotrotz bleibt an dieser Stelle zu betonen, dass sich die Beschwerdegegnerin im Laufe des weiteren Verwaltungsverfahrens rechtsgenüglich mit den Einwän den der Verfahrensbeteiligten auseinanderzusetzen haben wird. 6.</w:t>
      </w:r>
    </w:p>
    <w:p>
      <w:r>
        <w:rPr>
          <w:b/>
        </w:rPr>
        <w:t>E. 2.2.1</w:t>
      </w:r>
    </w:p>
    <w:p>
      <w:r>
        <w:t>Zur Beschwerde ist berechtigt, wer durch die angefochtene Verfügung oder den Einspracheentscheid berührt ist und ein schutzwürdiges Interesse an deren Aufhebung oder Änderung hat (Art. 59 ATSG). Entsprechend dem Grundsatz der Einheit des Verfahrens dürfen an die Beschwerdebefugnis auf kantonaler Ebene nicht strengere Anforderungen gestellt werden, als sie Art. 89 Abs. 1 des Bundes gesetzes über das Bundesgericht (BGG) für die Legitimation im Verfahren vor dem Bundesgericht vorsieht. Wer im letztinstanzlichen Verfahren beschwerdebefugt ist, muss im erstinstanzlichen Beschwerdeverfahren ebenfalls zum Weiterzug berechtigt sein. Daher sind die Legitimationsvoraussetzungen gemäss Art. 89 Abs. 1 des Bundesgesetzes über das Bundesgericht (BGG) sowie die hierzu ergan gene Praxis auch für das kantonale Rechtsmittelverfahren massgebend (BGE 131 V 298 E. 2, 130 V 560 E. 3.2). Namentlich ist der Begriff des schutzwürdigen Interesses gemäss Art. 59 ATSG gleich auszulegen wie derjenige nach Art. 89 Abs. 1 lit . c BGG für das bundesgerichtliche Beschwerdeverfahren (BGE 133 V 188 E. 4.1 mit Hinweis). Die Rechtsprechung betrachtet als schutzwürdiges Inte resse im Sinne von Art. 89 Abs. 1 lit . c BGG jedes praktische oder rechtliche Interesse, welches eine von einem Entscheid betroffene Person an dessen Ände rung oder Aufhebung geltend machen kann. Das schutzwürdige Interesse besteht somit im praktischen Nutzen, den die Gutheissung der Beschwerde dem Ent 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 4.3.1 mit Hinweisen; vgl. Urteil des Bundesgerichts 8C_751/2018 vom 6. Mai 2019 E. 3.1 f.). 2 .2 .2</w:t>
      </w:r>
    </w:p>
    <w:p>
      <w:r>
        <w:t>Besondere Bedeutung kommt dem Legitimationserfordernis zu, wenn nicht der Verfügungsadressat im materiellen Sinn, sondern ein Dritter (Drittbeschwerde füh rer) den Entscheid anficht (BGE 127 V 80 E. 3a/ aa mit Hinweisen). Hier haben die Legitimationsanforderungen die Funktion, die Popularbeschwerde auszu schliessen, weshalb bei der Bejahung der Beschwerdebefugnis von Drittbeschwer deführern Zurückhaltung geboten ist. Erforderlich ist ein spezifisches Rechts 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 ung des Bundesrechts genügt nicht (BGE 133 V 188 E. 4.3.3 mit Hinweisen). 2 . 2. 3</w:t>
      </w:r>
    </w:p>
    <w:p>
      <w:r>
        <w:t>Ein Entscheid der IV-Stelle oder - im Beschwerdefall - des kantonalen Sozial versicherungsgerichts ( Art. 57 ATSG ) respektive des Bundesgerichts ist für eine Einrichtung der beruflichen Vorsorge verbindlich, sofern sie in das invaliden 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 bar erscheint. Diese Bindungswirkung findet ihre positivr echtliche Grundlage in den Art. 23, 24 Abs. 1 und 26 Abs. 1 des Bundesgesetzes über die berufliche Alters-, Hinterlassenen- und Invalidenvorsorge (BVG) , welche an die Regelung des IVG anknüpfen oder diese übernehmen (BGE</w:t>
      </w:r>
    </w:p>
    <w:p>
      <w:r>
        <w:t>143 V 434 E .</w:t>
      </w:r>
    </w:p>
    <w:p>
      <w:r>
        <w:rPr>
          <w:b/>
        </w:rPr>
        <w:t>E. 6</w:t>
      </w:r>
    </w:p>
    <w:p>
      <w:r>
        <w:t>ATSG) gewesen sind; und c.</w:t>
      </w:r>
    </w:p>
    <w:p>
      <w:r>
        <w:t>nach Ablauf dieses Jahres zu mindestens 40 % invalid ( Art.</w:t>
      </w:r>
    </w:p>
    <w:p>
      <w:r>
        <w:rPr>
          <w:b/>
        </w:rPr>
        <w:t>E.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6.2.1</w:t>
      </w:r>
    </w:p>
    <w:p>
      <w:r>
        <w:t>Mit Beschwerde vom 1 9. Mai 2021 stellte die Beschwerdeführerin das Rechts begehren «Unter o/e Kostenfolge zu Lasten der Beschwerdegegnerin» und bean tragte damit nebst der Auferlegung der Gerichtskosten an die Gegenpartei auch die Zusprechung einer Parteientschädigung (vgl. Urteil des Bundesgerichts 2A.220/2004 vom 1 5. November 2004 E. 4).</w:t>
      </w:r>
    </w:p>
    <w:p>
      <w:r>
        <w:t>Der Beschwerde führenden (obsiegenden) Person wird zwar gemäss Art. 61 lit . g ATSG grundsätzlich ein Anspruch auf Parteientschädigung zuerkannt. Im sozial versicherungsrechtlichen Verfahren darf obsiegenden Behörden oder mit öffent lichrechtlichen Aufgaben betrauten Organisationen in der Regel jedoch keine Parteientschädigung zugesprochen werden.</w:t>
      </w:r>
    </w:p>
    <w:p>
      <w:r>
        <w:t>Das hat grundsätzlich auch für die Trägerinnen oder Versicherer der beruflichen Vorsorge gemäss BVG zu gelten (BGE 128 V 124 E. 5b mit Hinweis; Urteil des Bundesgerichts 9C_159 /2019 vom 31. Oktober 2019 E. 8). Die Beschwerdeführerin hat daher keinen Anspruch auf eine Parteientschädigung.</w:t>
      </w:r>
    </w:p>
    <w:p>
      <w:r>
        <w:rPr>
          <w:b/>
        </w:rPr>
        <w:t>E. 6.2.2</w:t>
      </w:r>
    </w:p>
    <w:p>
      <w:r>
        <w:t>Der ebenfalls obsiegende, anwaltlich vertretene Beigeladene hat Anspruch auf eine P rozessentschädigung, die sich gemäss § 34 Abs. 1 GSVGer</w:t>
      </w:r>
    </w:p>
    <w:p>
      <w:r>
        <w:t>nach der Bedeu tung der Streitsache, der Schwierigkeit des Prozesses und dem Mass des Obsie gens, jedoch ohne Rücksicht auf den Streitwert bemisst ( § 34 Abs. 3 GSVGer ). Unter Berücksichtigung dieser Kriterien ist diese ermessensweise auf Fr. 500.—</w:t>
      </w:r>
    </w:p>
    <w:p>
      <w:r>
        <w:t>(inkl. Barauslagen und MWSt ) festzusetzen und der unterliegenden Beschwerde gegnerin aufzuerlegen , da eine Rückweisung an die Verwaltung zur ergänzenden Abklärung als gänzliches Obsiegen gilt. Das Gericht erkennt: 1.</w:t>
      </w:r>
    </w:p>
    <w:p>
      <w:r>
        <w:t>Die Beschwerde wird in dem Sinne gutgeheissen, als die angefochtene Verfügung der Sozialversicherungsanstalt des Kantons Zürich, IV-Stelle, vom 2 2. April 2021 aufge hoben und die Sache an diese zurückgewiesen wird, damit sie nach ergänzenden Abklärungen im Sinne der Erwägungen über den Leistungs anspruch des Beigeladenen neu verfüge. 2.</w:t>
      </w:r>
    </w:p>
    <w:p>
      <w:r>
        <w:t>Die Gerichtskosten von Fr. 700 .-- werden der Beschwerdegegnerin auferlegt.</w:t>
      </w:r>
    </w:p>
    <w:p>
      <w:r>
        <w:t>Rechnung und Einzahlungsschein werden der Kostenpflichtigen nach Eintritt der Rechtskraft zugestellt. 3. a. Der Beschwerdeführerin wird keine Prozessentschädigung zugesprochen. b. Die Beschwerdegegnerin wird verpflichtet, dem Beigeladenen eine Prozessent schädigung von Fr. 500 .-- (inkl. Barauslagen und MWSt ) zu bezahlen. 4.</w:t>
      </w:r>
    </w:p>
    <w:p>
      <w:r>
        <w:t>Zustellung gegen Empfangsschein an: - Swisscanto Stiftungen - Sozialversicherungsanstalt des Kantons Zürich, IV-Stelle - Rechtsanwältin Aurelia Jenny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