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IV.2021.00063 vom 8. Juli 2021</w:t>
      </w:r>
    </w:p>
    <w:p>
      <w:r>
        <w:t>ZH Sozialversicherungsgericht, 2021-07-08, DE</w:t>
      </w:r>
    </w:p>
    <w:p>
      <w:r>
        <w:rPr>
          <w:b/>
        </w:rPr>
        <w:t xml:space="preserve">Quelle: </w:t>
      </w:r>
      <w:r>
        <w:t>https://mcp.opencaselaw.ch/entscheid/zh_sozialversicherungsgericht_IV.2021.00063</w:t>
      </w:r>
    </w:p>
    <w:p>
      <w:r>
        <w:t>FR: ZH_SOZIALVERSICHERUNGSGERICHT IV.2021.00063 du 8 juillet 2021</w:t>
      </w:r>
    </w:p>
    <w:p>
      <w:r>
        <w:t>IT: ZH_SOZIALVERSICHERUNGSGERICHT IV.2021.00063 del 8 luglio 2021</w:t>
      </w:r>
    </w:p>
    <w:p>
      <w:pPr>
        <w:pStyle w:val="Heading2"/>
      </w:pPr>
      <w:r>
        <w:t>Erwägungen</w:t>
      </w:r>
    </w:p>
    <w:p>
      <w:r>
        <w:rPr>
          <w:b/>
        </w:rPr>
        <w:t>E. 8</w:t>
      </w:r>
    </w:p>
    <w:p>
      <w:r>
        <w:t>ATSG) zu verhindern ( Abs. 1). Die versicherte Person muss gemäss Art. 7 Abs. 2 IVG an allen zumutbaren Mass nahmen, die zur Erhaltung des bestehenden Arbeitsplatzes oder zu ihrer Einglie derung ins Erwerbsleben oder in einen dem Erwerbsleben gleichgestellten Aufga benbereich (Aufgabenbereich) dienen, aktiv teilnehmen.</w:t>
      </w:r>
    </w:p>
    <w:p>
      <w:r>
        <w:t>Fehlt der Eingliederungswille beziehungsweise die subjektive Eingliederungs fähigkeit, d.h. ist die Eingliederungsbereitschaft aus invaliditätsfremden Gründen nicht gegeben, darf die Rente ohne vorgängige Prüfung von Massnahmen der (Wieder-)Eingliederung und ohne Durchführung des Mahn- und Bedenkzeit verfahrens nach Art. 21 Abs. 4 ATSG herabgesetzt oder aufgehoben werden. Berufliche Massnahmen können zwar unter anderem dazu dienen, subjektive Ein gliederungshindernisse im Sinne einer Krankheitsüberzeugung der versicherten Person zu beseitigen. Es bedarf indessen auch eines Eingliederungswillens bezie hungsweise einer entsprechenden Motivation der versicherten Person. Es sind insbe sondere die gegenüber der Verwaltung und den medizinischen Experten gemachten Aussagen betreffend Krankheitsüberzeugung beziehungsweise Arbeits motivation zu berücksichtigen. Ebenfalls von Belang sein können die im Vorbescheidverfahren und vor kantonalem Versicherungsgericht gemachten Aus führungen respektive gestellten Anträge (Urteil des Bundesgerichts 9C_541/2020 vom 1. März 2021 E. 4.4.2 mit Hinweisen).</w:t>
      </w:r>
    </w:p>
    <w:p>
      <w:r>
        <w:t>Die Beschwerdegegnerin hat demnach die Wiedereingliederung des noch jungen und gut ausgebildeten Beschwerdeführers in den Arbeitsmarkt noch einmal mit allen geeigneten Mitteln - allenfalls anfänglich niederschwellig - zu fördern und vom Beschwerdeführer auch einzufordern.</w:t>
      </w:r>
    </w:p>
    <w:p>
      <w:r>
        <w:t>Dieser wird hiermit ausdrücklich auf seine Schadenminderungs- und Mitwirkungspflicht aufmerksam gemacht.</w:t>
      </w:r>
    </w:p>
    <w:p>
      <w:r>
        <w:rPr>
          <w:b/>
        </w:rPr>
        <w:t>E. 8.1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8.2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34 Abs. 3 GSVGer ). Vorliegend erscheint eine Prozessentschädigung von Fr. 2’600 .-- (inkl. Mehrwertsteuer und Barauslagen) als angemessen. Das Gericht erkennt: 1.</w:t>
      </w:r>
    </w:p>
    <w:p>
      <w:r>
        <w:t>In Gutheissung der Beschwerde wird die angefochtene Verfügung der Sozialversiche rungsanstalt des Kantons Zürich, IV-Stelle, vom 23. Dezember 2020 aufgehoben und es wird festgestellt, dass der Beschwerdeführer von Juni 201 7 bis April 2018 Anspruch auf eine Viertelsrente sowie ab Mai 2018 Anspruch auf eine halbe Rente der Invaliden versicherung hat. 2.</w:t>
      </w:r>
    </w:p>
    <w:p>
      <w:r>
        <w:t>Die Gerichtskosten von Fr. 800 .-- werden der Beschwerdegegnerin auferlegt.</w:t>
      </w:r>
    </w:p>
    <w:p>
      <w:r>
        <w:t>Rechnung und Einzahlungsschein werden der Kostenpflichtigen nach Eintritt der Rechtskraft zugestellt. 3.</w:t>
      </w:r>
    </w:p>
    <w:p>
      <w:r>
        <w:t>Die Beschwerdegegnerin</w:t>
      </w:r>
    </w:p>
    <w:p>
      <w:r>
        <w:t>wird verpflichtet, dem Beschwerdeführer eine Prozessentschä digung von Fr. 2’600 .-- (inkl. Barauslagen und MWSt ) zu bezahlen. 4.</w:t>
      </w:r>
    </w:p>
    <w:p>
      <w:r>
        <w:t>Zustellung gegen Empfangsschein an: - Rechtsanwalt Matthias Horschik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