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IV.2021.00052 vom 6. Dezember 2022</w:t>
      </w:r>
    </w:p>
    <w:p>
      <w:r>
        <w:t>ZH Sozialversicherungsgericht, 2022-12-06, DE</w:t>
      </w:r>
    </w:p>
    <w:p>
      <w:r>
        <w:rPr>
          <w:b/>
        </w:rPr>
        <w:t xml:space="preserve">Quelle: </w:t>
      </w:r>
      <w:r>
        <w:t>https://mcp.opencaselaw.ch/entscheid/zh_sozialversicherungsgericht_IV.2021.00052</w:t>
      </w:r>
    </w:p>
    <w:p>
      <w:r>
        <w:t>FR: ZH_SOZIALVERSICHERUNGSGERICHT IV.2021.00052 du 6 décembre 2022</w:t>
      </w:r>
    </w:p>
    <w:p>
      <w:r>
        <w:t>IT: ZH_SOZIALVERSICHERUNGSGERICHT IV.2021.00052 del 6 dicembre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ausgebildeter Maschinentechniker ( Urk. 13/5/4), verletzte sich am 2 6. Oktober 2015 im Rahmen seiner Tätigkeit als Bauarbeiter am rechten Knie ( Urk. 13/</w:t>
      </w:r>
    </w:p>
    <w:p>
      <w:r>
        <w:rPr>
          <w:b/>
        </w:rPr>
        <w:t>E. 4</w:t>
      </w:r>
    </w:p>
    <w:p>
      <w:r>
        <w:t>/</w:t>
      </w:r>
    </w:p>
    <w:p>
      <w:r>
        <w:rPr>
          <w:b/>
        </w:rPr>
        <w:t>E. 5</w:t>
      </w:r>
    </w:p>
    <w:p>
      <w:r>
        <w:t>). Die Suva übernahm als zuständige Unfallversicherung die Versicherungsleistungen ( Urk. 13/4/6 f.) .</w:t>
      </w:r>
    </w:p>
    <w:p>
      <w:r>
        <w:t>Am 2 5. August</w:t>
      </w:r>
    </w:p>
    <w:p>
      <w:r>
        <w:t>2016 wurde das Arbeitsverhältnis zwischen dem Versicherten und seiner bisherigen Arbeitgeberin aufgrund seiner andauernden vollständigen Arbeitsunfähigkeit in der angestammten Tätigkeit per 3 0. November 2016 aufge löst (Aufhebungsvertrag vom 2 5. August 2016; Urk. 13/28/9). In der Folge sprach ihm die Suva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