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IV.2021.00039 vom 23. April 2021</w:t>
      </w:r>
    </w:p>
    <w:p>
      <w:r>
        <w:t>ZH Sozialversicherungsgericht, 2021-04-23, DE</w:t>
      </w:r>
    </w:p>
    <w:p>
      <w:r>
        <w:rPr>
          <w:b/>
        </w:rPr>
        <w:t xml:space="preserve">Quelle: </w:t>
      </w:r>
      <w:r>
        <w:t>https://mcp.opencaselaw.ch/entscheid/zh_sozialversicherungsgericht_IV.2021.00039</w:t>
      </w:r>
    </w:p>
    <w:p>
      <w:r>
        <w:t>FR: ZH_SOZIALVERSICHERUNGSGERICHT IV.2021.00039 du 23 avril 2021</w:t>
      </w:r>
    </w:p>
    <w:p>
      <w:r>
        <w:t>IT: ZH_SOZIALVERSICHERUNGSGERICHT IV.2021.00039 del 23 aprile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 ordnung über die Invalidenversi 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t>Z eitlicher Referenzpunkt für die Prüfung einer anspruchserheblichen Än derung bildet die letzte (der versicherten Person eröffnete) rechtskräftige Verfü gung, welche auf einer materiellen Prüfung des Rentenanspruchs mit rechtskon former Sachverhaltsabklärung, Beweiswürdigung und Durchführung eines Ein kom mensvergleichs (bei Anhaltspunkten für eine Änderung in den erwerblichen Auswirkungen des Gesundheitszustands) beruht .</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Nach den allgemeinen Regeln des So zialversicherungsrechts hat der Versiche rungsträger den rechtserheblichen Sachverhalt abzu klären. Er ist nach dem in Art. 43 Abs. 1 ATSG statuierten Untersuchungsgrundsatz verpflichtet, die not wen digen Abklärungen von Amtes wegen vorzunehmen. Dieser Grundsatz gilt indessen nicht uneingeschränkt; er findet sein Korrelat in den Mitwirkungs pflichten der Parteien (BGE 125 V 193 E. 2, 122 V 157 E. 1a, vgl. BGE 130 I 180 E. 3.2).</w:t>
      </w:r>
    </w:p>
    <w:p>
      <w:r>
        <w:t>Wer Versicherungsleistungen beansprucht, muss unentgeltlich alle Aus künfte erteilen, die zur Abklärung des Anspruchs, zur Festsetzung der Ver si cherungsleistungen und zur Durchsetzung des Regressanspruchs erforderlich sind ( Art. 28 Abs. 2 ATSG).</w:t>
      </w:r>
    </w:p>
    <w:p>
      <w:r>
        <w:t>Kommen die versicherte Person oder andere Personen, die Leistungen beanspru chen, den Auskunfts- oder Mitwirkungspflichten in unent schuldbarer Weise nicht nach, so kann der Versicherungsträger auf Grund der Akten verfügen oder die Erhebungen einstellen und Nichteintreten beschliessen. Er muss diese Personen vorher schriftlich mahnen und auf die Rechtsfolgen hin weisen; ihnen ist eine angemessene Bedenkzei t einzuräumen ( Art. 43 Abs. 3 ATSG).</w:t>
      </w:r>
    </w:p>
    <w:p>
      <w:r>
        <w:rPr>
          <w:b/>
        </w:rPr>
        <w:t>E. 1.5</w:t>
      </w:r>
    </w:p>
    <w:p>
      <w:r>
        <w:t>Gemäss Art. 6a Abs. 1 des Bundesgesetzes über die Invalidenversicherung (IVG) ermächtigt die versicherte Person mit der Geltendmachung des Leistungs an spruchs die in der Anmeldung erwähnten Personen und Stellen, den Organen der Invalidenversicherung alle Auskünfte zu erteilen und alle Unterlagen zur Ver fügung zu stellen, die für die Abklärung von Leistungs- und Regressansprüchen erforderlich sind. Diese Personen und Stellen sind zur Auskunft verpflichtet. 2.</w:t>
      </w:r>
    </w:p>
    <w:p>
      <w:r>
        <w:rPr>
          <w:b/>
        </w:rPr>
        <w:t>E. 2</w:t>
      </w:r>
    </w:p>
    <w:p>
      <w:r>
        <w:t>4. September 2013 einen Anspruch des Versicherte n auf eine Invalidenrente (Urk. 6/ 33 ). Diese Verfügung verblieb unangefochten.</w:t>
      </w:r>
    </w:p>
    <w:p>
      <w:r>
        <w:rPr>
          <w:b/>
        </w:rPr>
        <w:t>E. 2.1</w:t>
      </w:r>
    </w:p>
    <w:p>
      <w:r>
        <w:t>Im angefochtenen Entscheid erwog die Beschwerdegegnerin, im Rahmen der Leis tungsprüfung seien wiederholt medizinische Unterlagen vom behandelnden Arzt eingefordert worden, zuletzt mit Kopie an den Beschwerdeführer. Weder der Be handler noch letzterer hätten darauf reagiert. Somit fehlten medizinische Unter lagen. Da sich der Beschwerdeführer in den letzten Jahren immer wieder zu 100 % habe wiedereingliedern können, bestehe mit überwiegender Wahrscheinlichkeit keine dauerhafte gesundheitliche Einschränkung ( Urk. 2).</w:t>
      </w:r>
    </w:p>
    <w:p>
      <w:r>
        <w:rPr>
          <w:b/>
        </w:rPr>
        <w:t>E. 2.2</w:t>
      </w:r>
    </w:p>
    <w:p>
      <w:r>
        <w:t>Dagegen wandte der Beschwerdeführer ein, mit E-Mail vom 9. September 2020 ( 11.05 ) Uhr habe ihm die IV-Stelle bestätigt, dass der Arztbericht eingegangen sei. Ausserdem habe die behandelnde Praxis bestätigt, dass ein aktueller Arzt bericht der IV-Stelle zugestellt worden sei. Daher sei er (der Beschwerdeführer) davon ausgegangen, dass sich die mit Kopie an ihn versandte Aufforderung zur Einreichung eines Arztberichts erübrigt habe. Dem Abklärungsergebnis der IV-Stelle sei indes zu entnehmen, dass der Bericht im System der IV-Stelle an schei nend nicht vorhanden resp. verlorengegangen sei. Eine Kopie des Arzt be richts werde nunmehr zur Kenntnisnahme und wohlwollenden Prüfung einge reicht ( Urk. 1 ). 3.</w:t>
      </w:r>
    </w:p>
    <w:p>
      <w:r>
        <w:t>3.1</w:t>
      </w:r>
    </w:p>
    <w:p>
      <w:r>
        <w:t>Die Beschwerdegegnerin ist auf die Neuanmeldung vom 5. September 2019 ein getreten. Mit Blick auf die im Januar 2019 erneut eingetretene Arbeitslosigkeit ist seit der rechtskräftigen Verfügung vom 2 5. September 2017 eine wesentliche Veränderung eingetreten (vgl. E. 1.2).</w:t>
      </w:r>
    </w:p>
    <w:p>
      <w:r>
        <w:t>3.2</w:t>
      </w:r>
    </w:p>
    <w:p>
      <w:r>
        <w:t>Weiter ist vorab darauf hinzuweisen, dass der Beschwe rdeführer im Zusam men hang mit dem Abschluss berufliche r Massnahmen keine anfechtbare Verfügung verlangt (vgl. Mitteilung vom 1 1. Juni 2020, Urk. 6/128;</w:t>
      </w:r>
    </w:p>
    <w:p>
      <w:r>
        <w:t>Art. 51 Abs. 2 ATSG ) und die Mitteilung vom 11. Juni 2020 – vorbehältlich einer Wi edererwägung ( Art. 53 Abs. 2 ATSG)</w:t>
      </w:r>
    </w:p>
    <w:p>
      <w:r>
        <w:t>- Rechtsbeständigkeit erlangt hat (vgl. BGE 132 V 412 E. 5, 129 V 110 E. 1.2.2; vgl. Urteil des Bundesgerichts 8C_14/2011 vom 13. April 2011 E. 5).</w:t>
      </w:r>
    </w:p>
    <w:p>
      <w:r>
        <w:t>Streitig und zu prüfen ist damit , ob die Beschwerdegegnerin mit der angefoch tenen Verfügung vom 1 2. Januar 2021 ( Urk. 2) einen Rentena nspruch zu Recht gestützt auf die unzulängliche Aktenlage und damit (sinngemäss) infolge Ver letzung der Auskunfts- und Mitwirkungspflicht ver neint hat .</w:t>
      </w:r>
    </w:p>
    <w:p>
      <w:r>
        <w:rPr>
          <w:b/>
        </w:rPr>
        <w:t>E. 4</w:t>
      </w:r>
    </w:p>
    <w:p>
      <w:r>
        <w:t>ATSG (statt Art. 28 Abs. 2 ATSG) hingewiesen wurde</w:t>
      </w:r>
    </w:p>
    <w:p>
      <w:r>
        <w:t>(vgl. Urk. 6/127).</w:t>
      </w:r>
    </w:p>
    <w:p>
      <w:r>
        <w:t>Zu sammenfassend ergibt sich, dass die Beschwerdegegnerin zu Unrecht einen Aktenentsc heid gefällt hat. Vielmehr sind weitere medizinische Abklärungen vorzunehmen . Zu diesem Zweck ist die angef ochtene Verfügung aufzuheben, die Sache an die Bes chwerdegegnerin zurückzuweisen und die Beschwerde gutzu heissen.</w:t>
      </w:r>
    </w:p>
    <w:p>
      <w:r>
        <w:rPr>
          <w:b/>
        </w:rPr>
        <w:t>E. 5</w:t>
      </w:r>
    </w:p>
    <w:p>
      <w:r>
        <w:t>Die Kosten gemäss Art. 69 Abs. 1 bis IVG sind ermessensweise auf Fr. 700. -- fest zusetzen und entsprechend dem Ausgang des Verfahrens der unterliegenden Beschwerdegegnerin aufzuerlegen. Das Gericht erkennt: 1.</w:t>
      </w:r>
    </w:p>
    <w:p>
      <w:r>
        <w:t>In Gutheissung der Beschwerde wird die Sache an die Sozialversicherungsanstalt des Kantons Zürich, IV-Stelle, zurückgewiesen wird, damit sie nach ergänzenden Abklärun gen im Sinne der Erwägungen über den Leistungsanspruch des Beschwerdeführers neu verfüge. 2.</w:t>
      </w:r>
    </w:p>
    <w:p>
      <w:r>
        <w:t>Die Gerichtskosten von Fr. 700 .--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