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IV.2020.00852 vom 9. Juni 2021</w:t>
      </w:r>
    </w:p>
    <w:p>
      <w:r>
        <w:t>ZH Sozialversicherungsgericht, 2021-06-09, DE</w:t>
      </w:r>
    </w:p>
    <w:p>
      <w:r>
        <w:rPr>
          <w:b/>
        </w:rPr>
        <w:t xml:space="preserve">Quelle: </w:t>
      </w:r>
      <w:r>
        <w:t>https://mcp.opencaselaw.ch/entscheid/zh_sozialversicherungsgericht_IV.2020.00852</w:t>
      </w:r>
    </w:p>
    <w:p>
      <w:r>
        <w:t>FR: ZH_SOZIALVERSICHERUNGSGERICHT IV.2020.00852 du 9 juin 2021</w:t>
      </w:r>
    </w:p>
    <w:p>
      <w:r>
        <w:t>IT: ZH_SOZIALVERSICHERUNGSGERICHT IV.2020.00852 del 9 giugno 2021</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des Bundesgesetzes über den Allgemeinen Teil des Sozialversicherungsrechts ,</w:t>
      </w:r>
    </w:p>
    <w:p>
      <w:r>
        <w:t>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1.2</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 sen muss (BGE 133 V 108 E. 5.3.1). Dies gilt auch für eine erneute Anmeldung nach einer vorangegangenen, aber befristeten Rentenzusprache (BGE 133 V 263 E. 6.1; siehe auch Frey/ Mosimann /Bollinger [Hrsg.], AHVG/IVG Kommentar, 2018, Mosimann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2</w:t>
      </w:r>
    </w:p>
    <w:p>
      <w:r>
        <w:t>Der Versicherte erhob am 7. Dezember 2020 Beschwerde gegen die Verfügung vom 13. November 2020 (Urk. 2/1) und beantragte sinngemäss, es sei auf das neue Leistungsbegehren einzutreten. Z udem sei die IV-Stelle zu verpflichten, die vom Sozialamt</w:t>
      </w:r>
    </w:p>
    <w:p>
      <w:r>
        <w:t>Z.___ finanzierten Vorleistungen zu vergüten (Urk. 1 S. 1 Ziff. I.1-3). Mit Beschwerdeantwort vom 27. Januar 2021 (Urk. 8) beantragte die IV-Stelle die Abweisung der Beschwerde. Dies wurde dem Beschwerdeführer am 11. Februar 2021 zur Kenntnis gebracht (Urk. 10). Mit Verfügung vom 22. April 2021 (Urk. 17) wurde antragsgemäss (vgl. Urk. 1 S. 1 Ziff. I.4) die unentgeltliche Prozessführung bewilligt. Das Gericht zieht in Erwägung: 1.</w:t>
      </w:r>
    </w:p>
    <w:p>
      <w:r>
        <w:rPr>
          <w:b/>
        </w:rPr>
        <w:t>E. 2.1</w:t>
      </w:r>
    </w:p>
    <w:p>
      <w:r>
        <w:t>Die Beschwerdegegnerin führte in der angefochtenen Verfügung aus</w:t>
      </w:r>
    </w:p>
    <w:p>
      <w:r>
        <w:t>(Urk. 2) ,</w:t>
      </w:r>
    </w:p>
    <w:p>
      <w:r>
        <w:t>dass der Beschwerdeführer im Rahmen der erneuten Anmeldung mit entsprechenden Unterlagen eine Veränderung der Verhältnisse glaubhaft machen müsse. Er sei mehrmals aufgefordert worden, Beweismittel einzureichen. D em Abschlussbericht der A.___ AG vom 18. Oktober 2019 könne zwar entnommen werden, dass eine Potentialabklärung während vier Wochen stattgefunden habe, aufgrund der häufigen krankheitsbedingten Absenzen sei jedoch eine Integration im ersten Arbeitsmarkt als nicht möglich erachtet worden. Entsprechende medizinische Belege oder Berichte über diese krankheitsbedingten Absenzen hätten hingegen nicht beigelegen. Da keine medizinischen Berichte eingereicht worden seien, die auf einen veränderten und verschlechterten Gesundheitszustand hindeuten würden , sei keine Veränderung glaubhaft dargelegt worden.</w:t>
      </w:r>
    </w:p>
    <w:p>
      <w:r>
        <w:rPr>
          <w:b/>
        </w:rPr>
        <w:t>E. 2.2</w:t>
      </w:r>
    </w:p>
    <w:p>
      <w:r>
        <w:t>Der Beschwerdeführer stellte sich demgegenüber auf den Standpunkt (Urk. 1), dass es ihm seit der letzten Beurteilung zunehmend schlechter gehe, was erneute Gutachten, die in Auftrag gegeben werden müssten, zweifelsfrei ergeben würden. Auch der Befund der Potentialabklärung der A.___</w:t>
      </w:r>
    </w:p>
    <w:p>
      <w:r>
        <w:t>AG sp reche dafür eine klare Sprache (S. 3 f. Ziff. II.B).</w:t>
      </w:r>
    </w:p>
    <w:p>
      <w:r>
        <w:rPr>
          <w:b/>
        </w:rPr>
        <w:t>E. 2.3</w:t>
      </w:r>
    </w:p>
    <w:p>
      <w:r>
        <w:t>Strittig und zu prüfen ist, ob die Beschwerdegegnerin auf die Neuanmeldung zu Recht nicht eingetreten ist. Prozessthema ist, ob der Beschwerdeführer im Sinne von Art. 87 Abs. 2 IVV glaubhaft gemacht hat, dass sich sein Gesundheitszustand erheblich verschlechtert hat, dies verglichen mit dem Zeitpunkt, in welchem der Rentenanspruch letztmals materiell geprüft wurde, mithin im Juni 2017.</w:t>
      </w:r>
    </w:p>
    <w:p>
      <w:r>
        <w:rPr>
          <w:b/>
        </w:rPr>
        <w:t>E. 3.1</w:t>
      </w:r>
    </w:p>
    <w:p>
      <w:r>
        <w:t>Der rechtskräftigen leistungsverneinenden Verfügung vom 23. Juni 2017 (Urk. 9/92) lag im Wesentlichen das p sychiatrische Gutachten von Dr. med. B.___ , Facharzt für Psychiatrie und Psychotherapie und für Neurologie, vom 27. Januar 2017 (Urk. 9/83) zugrunde, der eine rezidivierende depressive Störung, aktuell mittelgradige Episode (ICD-10 F33.1), eine Aufmerksamkeits- und Aktivitätsstörung (ICD-10 F90.0) und eine narzisstische Persönlichkeits akzentuierung mit Auswirkung auf die Arbeitsfähigkeit diagnostizierte (S. 41 Ziff. V.III.1). Zudem nannte er einen aktuellen Konsum von Cannabis (ICD-10 F12) als Diagnose ohne Auswirkung auf die Arbeitsfähigkeit (S. 41 Ziff. V.III.2). Dr. B.___ attestierte dem Beschwerdeführer in der angestammten Tätigkeit als Betreuer von Jugendlichen eine aktuelle Arbeitsunfähigkeit von 50 %. Von zirka Juli 2014 bis Oktober 2016 habe eine 100%ige Arbeitsunfähigkeit vorgelegen. In der angepassten Tätigkeit als Schreiner attestierte er dem Beschwerdeführer eine aktuelle Arbeitsunfähigkeit von 25 %. Von Juli 2014 bis Oktober 2016 habe eine Arbeitsunfähigkeit von durchschnittlich 50 % vorgelegen (S. 45 f. Ziff. V.VI.1). Auch in einer weiteren angepassten Tätigkeit attestierte er dem Beschwerdeführer eine Arbeitsfähigkeit von aktuell 75 % (S. 47 Ziff. V.VI.2).</w:t>
      </w:r>
    </w:p>
    <w:p>
      <w:r>
        <w:rPr>
          <w:b/>
        </w:rPr>
        <w:t>E. 3.2</w:t>
      </w:r>
    </w:p>
    <w:p>
      <w:r>
        <w:t>Die Beschwerdegegnerin begründete die Abweisung des Leistungsbegehrens in der rechtskräftigen Verfügung</w:t>
      </w:r>
    </w:p>
    <w:p>
      <w:r>
        <w:t>vom 23. Juni 2017 (Urk. 9/92) damit, dass aufgrund der versicherungs medizinischen Beurteilung die gestellten Diagnosen einer rezidivierenden depressiven Störung, aktuell mittelgradige Episode, und einer Aufmerksamkeits- und Aktivitätsstörung zwar nachvollziehbar seien, aus den Akten jedoch hervor gehe, dass beim Beschwerdeführer gute Ressourcen vorlägen und die psychiatr i sche Behandlung intensiviert werden könne. Dies lasse darauf schliessen, dass er trotz der psychischen Einschränkungen einer Arbeitstätigkeit nachgehen könne (S. 1 f.).</w:t>
      </w:r>
    </w:p>
    <w:p>
      <w:r>
        <w:t>Das hiesige Gericht kam in ihrem Urteil vom 20. November 2018 (Urk. 9/95) zum Schluss, dass gestützt auf das eingeholte psychiatrische Gutachten von Dr. B.___ ein Gesamtbild resultiere, welches aus psychiatrischer Sicht nicht auf bedeutende funktionelle Beeinträchtigungen schliessen lasse. Die vom psychiatrischen Gutachter attestierte ab Begutachtungszeitpunkt gelt ende 50%ige Arbeitsun fähigkeit in der angestammten Tätigkeit als Betreuer von Jugendlichen bezie hungsweise 25%ige Arbeitsunfähigkeit in der Tätigkeit als Schreiner oder sonsti gen an gepassten Tätigkeit erachtete das Gericht als nicht über zeugend. Das hiesige Gericht wich insofern vom psychiatrischen Gutachten ab, als dass es fest hielt, dass der Beschwerdeführer aus versicherungsrechtlicher Sicht ab dem Begutachtungszeitpunkt, mithin ab November 2016, in seiner Arbeitsfähigkeit nicht eingeschränkt sei (E. 4.5). Im Hinblick auf die Beurteilung der Arbeitsfähig keit des Beschwerdeführer s vor dem Zeitpunkt der psychiatrischen Begutachtung kam das hiesige Gericht - nach Würdigung der vorhandenen medizinischen Berichte - zum Schluss, dass auch im Zeitraum von Juli 2014 bis Oktober 2016 weder von einer 50%igen Arbeitsunfähigkeit als Schreiner und in angepassten Tätigkeiten noch von einer invalidenversicherungsrechtlich relevanten länger dauernden höheren Arbeitsunfähigkeit ausgegangen werden könne ( E. 4.7). Im Ergebnis erachtete das hiesige Gericht einen invalidisierenden Gesundheits schaden als nicht ausgewiesen (E. 4.8).</w:t>
      </w:r>
    </w:p>
    <w:p>
      <w:r>
        <w:t>Das Bundesgericht bestätigte mit Urteil vom 22. Mai 2019 (Urk. 9/99) das Urteil des hiesigen Gerichts vom 20. November 2018.</w:t>
      </w:r>
    </w:p>
    <w:p>
      <w:r>
        <w:rPr>
          <w:b/>
        </w:rPr>
        <w:t>E. 4</w:t>
      </w:r>
    </w:p>
    <w:p>
      <w:r>
        <w:t>Der</w:t>
      </w:r>
    </w:p>
    <w:p>
      <w:r>
        <w:t>Beschwerdeführer</w:t>
      </w:r>
    </w:p>
    <w:p>
      <w:r>
        <w:t>beantragte zudem sinngemäss , dass die vom Sozialamt Z.___</w:t>
      </w:r>
    </w:p>
    <w:p>
      <w:r>
        <w:t>finanzierten Vorleistungen , namentlich die Kosten der Poten tialabklärung der A.___ AG , von der Beschwerdegegnerin gestützt auf Art. 45 ATSG zu vergüten seien (Urk. 1 S. 1 Ziff. I. 3 ).</w:t>
      </w:r>
    </w:p>
    <w:p>
      <w:r>
        <w:t>Art. 45 Abs. 1 ATSG sieht vor, dass der Versicherungsträger die Kosten der Abklärung übernimmt, soweit er die Massnahmen angeordnet hat. Hat er keine Massnahmen angeordnet, so übernimmt er deren Kosten dennoch, wenn die Mass nahmen für die Beurteilung des Anspruchs unerlässlich waren oder Bestand teil nachträglich zugesprochener Leistungen bilden.</w:t>
      </w:r>
    </w:p>
    <w:p>
      <w:r>
        <w:t>Diesbezüglich ist festzuhalten, dass im vorliegenden Verfahren einzig die Frage zu beurteilen ist, ob die Beschwerdegegnerin zu Recht nicht auf die erneute Anmeldung des Beschwerdeführer s eingetreten ist. Dabei ist insbesondere zu prüfen, ob der Beschwerdeführer eine erhebliche Veränderung seines Gesund heitszustands seit der letzten materiellen Prüfung im Juni 2017 glaubhaft gemacht hat (vgl. vorstehend E. 2.3). Wie bereits erwähnt, handelt es sich bei der eingeholten Potentialabklärung der A.___ AG um keinen medizinischen Bericht, der geeignet wäre, eine Veränderung des Gesun dheitsschadens zu belegen (vgl. vorstehend E. 4.3). Demnach war dieser auch nicht notwendig, um den Gesund heitszustand des Beschwerdeführer s zu beurteilen.</w:t>
      </w:r>
    </w:p>
    <w:p>
      <w:r>
        <w:rPr>
          <w:b/>
        </w:rPr>
        <w:t>E. 4.1</w:t>
      </w:r>
    </w:p>
    <w:p>
      <w:r>
        <w:t>Der Beschwerdeführer meldete sich am 19. Juni 2020 unter Hinweis auf eine Verschlechterung seines Gesundheitszustandes seit der letzten Anmeldung erneut bei der Invalidenversicherung zum Leistungsbezug an , wobei er eine seit Geburt bestehende Aufmerksamkeitsdefizit-Hyperaktivitätsstörung (ADHS) erwähnte und auf frühere Gutachten verwies (Urk. 9/103).</w:t>
      </w:r>
    </w:p>
    <w:p>
      <w:r>
        <w:t>Da die IV-Anmeldung nicht durch den Beschwerde führer selbst, sondern von lic . phil. Y.___ unterzeichnet war und aus der beigelegten Vollmacht nicht explizit hervorging, dass die Vertretung für die Beschwerdegegnerin beziehungs weise Invalidenversicherung galt , forderte die Beschwerdegegnerin den Beschwerdeführer mit Schreiben vom 27. Juni 2020 (Urk. 9/105; vgl.</w:t>
      </w:r>
    </w:p>
    <w:p>
      <w:r>
        <w:t>Urk. 9/106) auf , die beigelegte Vol lmacht zu unterzeichnen, die IV Anmeldung an den markierten Stellen zu ergänzen und die IV-Anmeldung persönlich zu unter zeichnen. Zudem wurde der Beschwerdeführer gebeten, bis spätestens am 31. Juli 2020 entsprechende aktuelle Beweismittel wie beispielsweise Arzt- oder Spital berichte einzureichen. Mit Schreiben vom 21. August 2020 (Urk. 9/111; vgl. Urk. 9/112) forderte die Beschwerdegegnerin den Beschwerdeführer erneut auf, bis spätestens am 21. September 2020 entsprechende aktuelle Beweismittel nach zureichen wie beispielsweise Arzt- oder Spitalberichte.</w:t>
      </w:r>
    </w:p>
    <w:p>
      <w:r>
        <w:t>Am 9. September 2020 (Eingangsdatum) reichte der Beschwerdeführer die ergänzte und unterzeichnete IV-Anmeldung ein (Urk. 9/113), wobei er jedo ch keine Beweismittel beilegte . Mit Vorbescheid v om 29. September 2020 (Urk. 3/8 = Urk. 9/116) stellte die Beschwerdegegnerin dem Beschwerdeführer in Aussicht, nicht auf das Leistungsbegehren einzutreten. Mit Eingabe vom 8. September 2020 ( Urk. 3/5 = Urk. 9/118), die bei der Beschwerdegegnerin am 21. Oktober 2020 eintraf, reichte lic . phil. Y.___ die eingeholte Potentialabklärung der A.___ AG (Urk. 9/117) ein. Mit Verfügung vom 13. November 2020 (Urk. 2/1) trat die Beschwerdegegnerin auf das neue Leistungsbegehren nicht ein.</w:t>
      </w:r>
    </w:p>
    <w:p>
      <w:r>
        <w:rPr>
          <w:b/>
        </w:rPr>
        <w:t>E. 4.2</w:t>
      </w:r>
    </w:p>
    <w:p>
      <w:r>
        <w:t>Der Beschwerdeführer reichte trotz mehrmaliger Aufforderung durch die Beschwerdegegnerin keine Beweismittel beziehungsweise medizinische n Berichte ein, die auf einen veränderten oder verschlechterten Gesundheitszustand hindeu ten würden. Nach erlassenem Vorbescheid reichte er während der Einwandfrist einzig eine Kopie des Abschlussberichts der A.___ AG vom 18. Oktober 2019 (Urk. 9/117) ein, aus welchem ersichtlich ist, dass während vier Wochen eine Potentialabklärung stattgefunden hat.</w:t>
      </w:r>
    </w:p>
    <w:p>
      <w:r>
        <w:t>Aufgrund verschiedener gesundheitlicher Faktoren, der geringen Belastbarkeit und Leistungsfähigkeit wurde die Eingliede rung in den ersten Arbeitsmarkt aktuell als nicht möglich eingeschätzt und es wurden deshalb keine weiteren Eingliederungsmassnahmen empfohlen. Faktoren, die aktuell eine Eingliederung in den ersten Arbeitsmarkt verunmöglichen würden , seien häufige krankheitsbedingte Absenzen, somatische Symptome wie migräneartige Kopfschmerzen, hohe innere Anspannung und Gelähmtheit, Gedankenkreisen, innere Blockaden, starke Gefühlsschwankungen, Antriebs schwierigkeiten, Reizüberflutung in Alltagssituationen, Überforderung bei alltäg lichen Entscheidungen und Mühe mit der Bewältigung des Arbeitsweges (S. 1 f. , S. 4 ). Medizinische Berichte, die auf eine Veränderung des Gesundheitszustands gegenüber der leistungsverneinenden Verfügung vom 23. Juni 2017 (Urk. 9/92) hinweisen würden, reichte der Beschwerdeführer hingegen nicht ein.</w:t>
      </w:r>
    </w:p>
    <w:p>
      <w:r>
        <w:rPr>
          <w:b/>
        </w:rPr>
        <w:t>E. 4.3</w:t>
      </w:r>
    </w:p>
    <w:p>
      <w:r>
        <w:t>Im Rahmen einer erneuten Anmeldung zum Leistungsbezug muss die versicherte Person glaubhaft machen, dass sich sein Invaliditätsgrad anspruchsrelevant verändert hat. Der versicherten Person kommt somit ausnahmsweise eine Beweis führungslast zu (vgl. vorstehend E. 1.2-1.3). Mit dem Beweismass des Glaubhaft machens im Sinne des Art. 87 Abs. 2 und 3 IVV sind herabgesetzte Anforderun gen an den Beweis verbunden: Die Tatsachenänderung muss nicht nach dem im Sozialversicherungsrecht sonst üblichen Beweisgrad der überwiegenden Wahr scheinlichkeit (BGE 126 V 353 E. 5b) erstellt sein. Es genügt, dass für das Vorhandensein des geltend gemachten rechtserheblichen Sachumstandes wenigs 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t>D er Beschwerdeführer hat trotz mehrmaliger Auff orderung durch die Beschwer degegnerin keinerlei medizinische n Berichte eingereicht, die auf einen veränder ten oder verschlechterten Gesun dheitszustand hindeuten würden. Er hat lediglich die Potentialabklärung der A.___ AG vom 18. Oktober 2019 eingereicht, die jedoch nicht geeignet ist, eine Veränderung oder Verschlechterung des Gesund heitszustands zu belegen. Indem der Beschwerdeführer keine medizinischen Berichte eingereicht hat, hat er keine Veränderung seines Gesundheitszustands seit der letzten materiellen Prüfung</w:t>
      </w:r>
    </w:p>
    <w:p>
      <w:r>
        <w:t>im Juni 2017 glaubhaft gemacht .</w:t>
      </w:r>
    </w:p>
    <w:p>
      <w:r>
        <w:t>Der Einwand des Beschwerdeführers, dass es ihm seit der letzten Beurteilung zuneh mend schlechter gehe, was erneute Gutachten, die in Auftrag gegeben werden müssten, zweifelsfrei ergeben würden (vorstehend E. 2.2), erweist sich nach dem Gesagten als unbegründet . Der Beschwerdeführer verkennt , dass es zur Glaub haftmachung einer erheblichen Verschlechterung des Gesundheitszustands keines Gutachtens bedarf; die Einreichung von Arzt- oder Spitalberichten genügt, worüber er mit Schreiben vom 27. Juni und 21. August 2020 der Beschwerde gegnerin ausdrücklich in Kenntnis gesetzt wurde ( vgl. vorstehend E. 4.1).</w:t>
      </w:r>
    </w:p>
    <w:p>
      <w:r>
        <w:rPr>
          <w:b/>
        </w:rPr>
        <w:t>E. 5</w:t>
      </w:r>
    </w:p>
    <w:p>
      <w:r>
        <w:t>Schliesslich beanstandete der Beschwerdeführer die Unabhängigkeit des psychi atrischen Gutachters Dr. B.___ , der am 27. Jan uar 2017 ein Gutachten erstattet hat (Urk. 1 S. 6 f. Ziff. II.C.). Diesbezüglich ist festzuhalten, dass im vorliegenden Verfahren einzig die Frage zu beurteilen ist, ob die Beschwerdegegnerin zu Recht nicht auf die erneute Anmeldung des Beschwerdeführer s eingetreten ist. Die leistungsverneinende</w:t>
      </w:r>
    </w:p>
    <w:p>
      <w:r>
        <w:t>Verfügung vom 23. Juni 2017 (Urk. 9/92) , der unter anderem das psychiatrische Gutachten von Dr. B.___ zugrunde lag, ist ausser dem in Rechtskraft erwachsen , wobei auch das Bundesgericht in seinem Urteil vom 22. Mai 2019 die Beweiskraft des Gutachtens bestätigte ( Urk. 9/99 S. 7 f. E. 4.2).</w:t>
      </w:r>
    </w:p>
    <w:p>
      <w:r>
        <w:t>Auch die übrigen Einwendungen (vgl. Urk. 1 S. 6 f. Ziff. II.C) erweisen sich als unbegründet. 4.</w:t>
      </w:r>
    </w:p>
    <w:p>
      <w:r>
        <w:rPr>
          <w:b/>
        </w:rPr>
        <w:t>E. 6</w:t>
      </w:r>
    </w:p>
    <w:p>
      <w:r>
        <w:t>Zusammenfassend kann festgehalten werden, dass der Beschwerdeführer keine erhebliche Verschlechterung seines Gesundheitszustandes seit der letzten materi ellen Prüfung im Juni 2017 glaubhaft gemacht hat, weshalb die Beschwerde gegnerin zu Recht nicht auf die Neuanmeldung eingetreten ist.</w:t>
      </w:r>
    </w:p>
    <w:p>
      <w:r>
        <w:t>Die angefochtene Verfügung vom 13. November 2020 (Urk. 2) erweist sich demzufolge als rechtens, was zur Abweisung der Beschwerde führt. 5.</w:t>
      </w:r>
    </w:p>
    <w:p>
      <w:r>
        <w:t>Da es um die Bewilligung oder Verweigerung von IV-Leistungen geht, ist das Verfahren kostenpflichtig. Die Gerichtskosten sind nach dem Verfahrensaufwand und unabhängig vom Streitwert festzulegen (Art. 69 Abs. 1 bis I VG) und ermes sensweise auf Fr. 5 00.-- anzusetzen. Die Kosten sind ausgangsgemäss dem unterliegenden Beschwerdeführer aufzuerlegen, infolge bewilligter unent geltlicher Prozessführung jedoch einstweilen auf die Gerichtskasse zu nehmen. Der Beschwerdeführer wird au f die Nachzahlungspflicht von § 16 Abs.</w:t>
      </w:r>
    </w:p>
    <w:p>
      <w:r>
        <w:t>4 des Gesetzes über das Sozialversicherungsgericht ( GSVGer ) hingewiesen. Das Gericht erkennt: 1.</w:t>
      </w:r>
    </w:p>
    <w:p>
      <w:r>
        <w:t>Die Beschwerde wird abgewiesen. 2.</w:t>
      </w:r>
    </w:p>
    <w:p>
      <w:r>
        <w:t>Die Gerichtskosten von Fr. 500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