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IV.2020.00716 vom 10. August 2021</w:t>
      </w:r>
    </w:p>
    <w:p>
      <w:r>
        <w:t>ZH Sozialversicherungsgericht, 2021-08-10, DE</w:t>
      </w:r>
    </w:p>
    <w:p>
      <w:r>
        <w:rPr>
          <w:b/>
        </w:rPr>
        <w:t xml:space="preserve">Quelle: </w:t>
      </w:r>
      <w:r>
        <w:t>https://mcp.opencaselaw.ch/entscheid/zh_sozialversicherungsgericht_IV.2020.00716</w:t>
      </w:r>
    </w:p>
    <w:p>
      <w:r>
        <w:t>FR: ZH_SOZIALVERSICHERUNGSGERICHT IV.2020.00716 du 10 août 2021</w:t>
      </w:r>
    </w:p>
    <w:p>
      <w:r>
        <w:t>IT: ZH_SOZIALVERSICHERUNGSGERICHT IV.2020.00716 del 10 agosto 2021</w:t>
      </w:r>
    </w:p>
    <w:p>
      <w:pPr>
        <w:pStyle w:val="Heading2"/>
      </w:pPr>
      <w:r>
        <w:t>Erwägungen</w:t>
      </w:r>
    </w:p>
    <w:p>
      <w:r>
        <w:rPr>
          <w:b/>
        </w:rPr>
        <w:t>E. 1.1</w:t>
      </w:r>
    </w:p>
    <w:p>
      <w:r>
        <w:t>Gemäss Art. 28 Abs. 1 des Bundesgesetzes über den Allgemeinen Teil des Sozial versicherungsrechts (ATSG) haben d ie Versicherten und ihre Arbeitgeber beim Vollzug der Sozialversicherungsgesetze unentgeltlich mitzuwirken. Laut Abs. 2 derselben Bestimmung muss, w er Versicherungsleistungen beansprucht, unentgeltlich alle Auskünfte erteilen, die unter anderem zur Abklärung des An spruchs und zur Festsetzung der Versicherungsleistungen erforderlich sind.</w:t>
      </w:r>
    </w:p>
    <w:p>
      <w:r>
        <w:rPr>
          <w:b/>
        </w:rPr>
        <w:t>E. 1.2</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 2.</w:t>
      </w:r>
    </w:p>
    <w:p>
      <w:r>
        <w:rPr>
          <w:b/>
        </w:rPr>
        <w:t>E. 1.3</w:t>
      </w:r>
    </w:p>
    <w:p>
      <w:r>
        <w:t>Neben ihrer Tätigkeit als Treuhänderin in der eigenen Firma Y.___ AG in einem Pensum von 60 % war sie seit 1. Juni 2016 ergänzend in einem Pensum von 40 % als Treuhänderin/stellvertretende Geschäftsführerin bei der Z.___ GmbH beschäftig t ( Urk. 6/24 Ziff. 5.4, Urk. 6/31/3, Urk. 6/29/3 und Urk. 6/62). Am 1 7. November 2017 zog sich die Versicherte bei einem Autounfall eine C o m motio cerebri, eine HWS-Kontusion sowie eine Quetschwunde parietal links zu ( Urk. 6/32). Im Zusammenhang mit den Unfallfolgen meldete sich die Versicherte am</w:t>
      </w:r>
    </w:p>
    <w:p>
      <w:r>
        <w:rPr>
          <w:b/>
        </w:rPr>
        <w:t>E. 2</w:t>
      </w:r>
    </w:p>
    <w:p>
      <w:r>
        <w:t>8. Juli 2018 erneut bei der IV-Stelle zum Leistungsbezug an ( Urk. 6/24). In der Folge zog diese die massgebenden UVG-Akten bei (insbesondere die medizinischen Akten, Urk. 6/</w:t>
      </w:r>
    </w:p>
    <w:p>
      <w:r>
        <w:rPr>
          <w:b/>
        </w:rPr>
        <w:t>E. 2.1</w:t>
      </w:r>
    </w:p>
    <w:p>
      <w:r>
        <w:t>Die Beschwerdegegnerin begründete die angefochtene Verfügung damit, dass die Beschwerdeführerin der Aufforderung um Einreichung der massgebenden Buch haltungsunterlagen bis zum Zeitpunkt der angefochtenen Verfügung nicht nach gekommen sei, sodass von einer Verletzung der Mitwirkungspflicht au s zugehen und das Leistungsbegehren abzuweisen sei ( Urk. 2).</w:t>
      </w:r>
    </w:p>
    <w:p>
      <w:r>
        <w:rPr>
          <w:b/>
        </w:rPr>
        <w:t>E. 2.2</w:t>
      </w:r>
    </w:p>
    <w:p>
      <w:r>
        <w:t>Demgegenüber machte die Beschwerdeführerin sinngemäss geltend, dass sie aus familiären und psychosozialen Gründen nicht in der Lage gewesen sei, die ver langten Unterlagen rechtzeitig einzureichen ( Urk. 1). 3. 3.1</w:t>
      </w:r>
    </w:p>
    <w:p>
      <w:r>
        <w:t>Ausgewiesen ist vorliegend, dass die Beschwerdegegnerin berechtigt war, die geforderten Buchhaltungsunterlagen einzufordern. Diese sind jedenfalls not wendig, um das Valideneinkommen der Beschwerdeführerin zu berechnen. Sie bezog vor dem Unfall den Hauptteil ihrer Auskünfte aus ihrer Arbeitstätigkeit in der eigenen Firma, weshalb ein Einblick in die Geschäftsunterlagen unerlässlich ist und ohne diese über einen Rentenanspruch nicht entschieden werden kann. Unbestritten ist sodann, dass die Beschwerdeführerin die verlangten Buch haltungsunterlagen zumindest bis zum Zeitpunkt der Beschwerde nicht ein gereicht hat ( Urk. 1 S. 2 unten).</w:t>
      </w:r>
    </w:p>
    <w:p>
      <w:r>
        <w:t>Nachdem die erste Aufforderung zur Einreichung der Buchhaltungsunterlagen am 2 5. März 2020 erfolgt und die Erinnerung am 4. Mai 2020 ergangen war , vermag die Argumentation der Beschwerdeführerin nicht zu überzeugen. So wird die zweifellos einschneidende familiäre Belastungssituation erst ab Mitte Mai 2020 geltend gemacht und war demnach im Zeitpunkt der Anforderung der Unterlagen noch nicht relevant. Zudem liegen den Akten auch keine ärztlichen Zeugnisse bei, aus welchen geschlossen werden müsste, dass es der Beschwerdeführerin nach Mitte Mai 2020 unmöglich gewesen war, zumindest die Beschwerdegegnerin zu kontaktieren für eine Absprache über das weitere Vorgehen. Zudem wusste die Beschwerdeführerin um das laufende Verfahren bei der IV-Stelle und hätte sich während ihre s temporären Auszug s aus der ehelichen Wohnung vorsehen respektive dies der Beschwerdegegnerin melden müssen. Die Androhung der Säumnisfolgen erfolgte mit Schreiben vom 2 7. Mai 2020 unter Ansetzung einer angemessenen Frist bis zum 2 2. Juni 202 0. Nachdem die Beschwerdeführerin Ende Juni 2020 wieder ins eheliche Haus zurückkehrte, wäre ihr eine Kontakt aufnahme mit der Beschwerdegegnerin bis zum 2 2. Juni 2020 zuzumuten gewesen. 3.2</w:t>
      </w:r>
    </w:p>
    <w:p>
      <w:r>
        <w:t>Damit liegt eine Verletzung der Mitwirkungspflicht vor . Das Vorgehen der Beschwerdegegnerin ist demnach - bei korrekt durchgeführtem Mahn- und Bedenkzeitverfahren - nicht zu beanstanden, was zur Bestätigung der angefochtenen Verfügung führt.</w:t>
      </w:r>
    </w:p>
    <w:p>
      <w:r>
        <w:t>Entsprechend den Ausführungen der Beschwerdegegnerin in der Beschwerde antwort ist dabei darauf hinzuweisen, dass es der Beschwerdeführerin jederzeit freisteht ein neues Gesuch einzureichen , was zur Wiederaufnahme des Verfahrens führt (vgl. Urk.</w:t>
      </w:r>
    </w:p>
    <w:p>
      <w:r>
        <w:rPr>
          <w:b/>
        </w:rPr>
        <w:t>E. 5</w:t>
      </w:r>
    </w:p>
    <w:p>
      <w:r>
        <w:t>S. 2 , vgl. auch Urteile des Bundesgerichts 8C_733/2010 vom 10. Dezember 2010 E. 5.6 und 9C_994/2010 vom 22. März 2010 E. 5.1 sowie BGE 139 V 585 E. 6.3.7.4 , wonach d ie nachträglich erklärte Bereitschaft gegebenen falls als Neuanmeldung zu verstehen ist mit der Wirkung, dass die Leistungen für die Zukunft ausgerichtet werden können, wenn die entsprechenden Voraus setzungen erfüllt sind). 4.</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und auf Fr. 400.-- anzusetzen. Entsprechend dem Ausgang des Verfahrens sind sie der Beschwerdeführerin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w:t>
      </w:r>
    </w:p>
    <w:p>
      <w:r>
        <w:t>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