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IV.2020.00635 vom 23. August 2021</w:t>
      </w:r>
    </w:p>
    <w:p>
      <w:r>
        <w:t>ZH Sozialversicherungsgericht, 2021-08-23, DE</w:t>
      </w:r>
    </w:p>
    <w:p>
      <w:r>
        <w:rPr>
          <w:b/>
        </w:rPr>
        <w:t xml:space="preserve">Quelle: </w:t>
      </w:r>
      <w:r>
        <w:t>https://mcp.opencaselaw.ch/entscheid/zh_sozialversicherungsgericht_IV.2020.00635</w:t>
      </w:r>
    </w:p>
    <w:p>
      <w:r>
        <w:t>FR: ZH_SOZIALVERSICHERUNGSGERICHT IV.2020.00635 du 23 août 2021</w:t>
      </w:r>
    </w:p>
    <w:p>
      <w:r>
        <w:t>IT: ZH_SOZIALVERSICHERUNGSGERICHT IV.2020.00635 del 23 agosto 2021</w:t>
      </w:r>
    </w:p>
    <w:p>
      <w:pPr>
        <w:pStyle w:val="Heading2"/>
      </w:pPr>
      <w:r>
        <w:t>Erwägungen</w:t>
      </w:r>
    </w:p>
    <w:p>
      <w:r>
        <w:rPr>
          <w:b/>
        </w:rPr>
        <w:t>E. 1.1</w:t>
      </w:r>
    </w:p>
    <w:p>
      <w:r>
        <w:t>X.___ , geboren 1981, Mutter einer im Mai 2015 geborenen Tochter, meldete sich erstmals am 1 1. Juli 2012 unter Hinweis auf Angstzustände und Panikattacken bei der Invalidenversicheru ng zum Leistungsbezug an ( Urk. 11/1 S. 4 Ziff. 6.2 ). Nachdem d ie Sozialversicherungsanstalt des Kantons Zürich, IV-Stelle, die medizinische sowie erwerbliche Situ ation abgeklärt und zunächst mit Vorbescheid vom 4. Juli 2013 ( Urk. 11/27) eine ganze Invalidenrente in Aussicht gestellt hatte, tätigte sie weitere A bklärungen, auferlegte der Versicherten als Schadenminderungspflicht die Durchführung medizinischer Massnahmen zur Verbesserung des Gesundheitszustandes (vgl. Schreiben vom 2 8. Januar 2015, Urk. 11/69) und verneinte schliesslich nach erneut durchgeführtem Vorbescheid verfahren ( Urk. 11 /76-77; Urk. 11/79 ) mit Verfügung vom 2 4. Oktober 2017 ( Urk. 11/97) einen Leistungsanspruch der Versicherten.</w:t>
      </w:r>
    </w:p>
    <w:p>
      <w:r>
        <w:rPr>
          <w:b/>
        </w:rPr>
        <w:t>E. 1.2</w:t>
      </w:r>
    </w:p>
    <w:p>
      <w:r>
        <w:t>Am 3 0. September 2019 meldete sich die Versicherte erneut zum Leistungsbezug an ( Urk. 11/103). Mit Schreiben vom 9. Oktober 2019 ( Urk. 11/107 ) forderte die IV-Stelle die Vers icherte auf, bis spätestens am 1 5. November 2019 entsprechende aktuelle Beweismittel zur Prüfung des Anspruchs einzureichen, unter Androhung, dass ansonsten auf das Gesuch nicht eingetreten werde. Daraufhin wurden zwei Berichte ( Urk. 11/109 /1-2; Urk. 11/109/3-10 ) eingereicht.</w:t>
      </w:r>
    </w:p>
    <w:p>
      <w:r>
        <w:t>Nach durchgeführ tem Vorbescheidverfahren ( Urk. 11/112 ) trat die IV-Stelle mit Verfü gung vom 2 1. Januar 2020 ( Urk. 11/118 = Urk. 2) auf das neue Leistungs begehren der Versicherten nicht ein.</w:t>
      </w:r>
    </w:p>
    <w:p>
      <w:r>
        <w:rPr>
          <w:b/>
        </w:rPr>
        <w:t>E. 2</w:t>
      </w:r>
    </w:p>
    <w:p>
      <w:r>
        <w:t>.3</w:t>
      </w:r>
    </w:p>
    <w:p>
      <w:r>
        <w:t>Strittig und zu prüfen ist, ob die Beschwerdegegnerin – mangels einer glaubhaft gemachten Veränderung des Gesundheitszustandes seit der letztmaligen mate riellen Prüfung – zu Recht nicht auf das neue Leistungsbegehren eingetreten ist.</w:t>
      </w:r>
    </w:p>
    <w:p>
      <w:r>
        <w:rPr>
          <w:b/>
        </w:rPr>
        <w:t>E. 3</w:t>
      </w:r>
    </w:p>
    <w:p>
      <w:r>
        <w:t>ATSG). Schriftliche Eingaben müssen spätestens am letzten Tag der Frist dem Versicherungsträger eingereicht oder zu dessen Händen der Schweizerischen Post oder einer schweizerischen diploma tischen oder konsularischen Vertretung übergeben werden ( Art. 39 Abs. 1 ATSG). Läuft die Frist unbenützt ab, so erwächst der Verwaltungsentscheid in (formelle) Rechtskraft mit der Wirkung, dass das erstinstanzliche Gericht auf eine verspätet eingereichte Beschwerde nicht eintreten darf (vgl. BGE 134 V 49 E. 2, 124 V 400 E. 1a).</w:t>
      </w:r>
    </w:p>
    <w:p>
      <w:r>
        <w:t>Die angefochtene Verfügung datiert vom 2 1. Januar 2020 ( Urk. 2), w ährend die dagegen erhobene Beschwerde erst am 1 6. September 2020 ( Datum des Post stempels, Urk. 1) und damit offensichtlich verspätet erhoben worden wäre.</w:t>
      </w:r>
    </w:p>
    <w:p>
      <w:r>
        <w:rPr>
          <w:b/>
        </w:rPr>
        <w:t>E. 3.1</w:t>
      </w:r>
    </w:p>
    <w:p>
      <w:r>
        <w:t>Vorab ist zu prüfen, ob die vorliegende Besch werde rechtzeitig erhoben wurde. Gemäss Art. 58 Abs. 1 in Verbindung mit Art. 60 Abs. 1 ATSG ist die Beschwerde innerhalb von 30 Tagen nach der Eröffnung des Einspr acheentscheids oder – wie hier – der Verfügung, gegen welche eine Einsprache ausgeschlossen ist, beim zu ständigen Versi cherungsgericht einzureichen.</w:t>
      </w:r>
    </w:p>
    <w:p>
      <w:r>
        <w:t>Berechnet sich eine Frist nach Tagen oder Monaten und bedarf sie der Mitteilung an die Parteien, so beginnt sie am Tag nach ihrer Mitteilung zu laufen ( Art. 38 Abs. 1 ATSG). Fällt der letzte Tag auf einen Samstag, einen Sonntag oder einen am Wohnsitz oder Sitz der Partei oder ihrer Vertretung vom kantonalen Recht anerkannten Feiertag, so endet die Frist am nächsten Werktag ( Art. 38 Abs.</w:t>
      </w:r>
    </w:p>
    <w:p>
      <w:r>
        <w:rPr>
          <w:b/>
        </w:rPr>
        <w:t>E. 3.2</w:t>
      </w:r>
    </w:p>
    <w:p>
      <w:r>
        <w:t>Die Beschwerdeführerin stellt e sich diesbezüglich auf den Standpunkt, sie habe die mit A-Post ver sandte Verfügung vom 2 1. Januar 2020 nicht erhalten. Mit Vollmacht vom 2 0. Mai 2020 habe sie ihren Rechtsvertreter mandatiert. Dieser habe der Beschwerdegegnerin das Mandatsverhältnis mit Schreiben vom 2 5. Mai 2020 mitgeteilt und um Zustellung der IV-Akten ersucht. Dabei habe er aus drücklich für den Fall, dass betreffend Zusatzgesuch vom 1. Oktober 2019 noch keine formelle Verfügung ergangen sei , um eine Nachfrist von 30 Tagen ab Zu stellung der Akten ersucht zwecks Stellungnahme zum Vorbescheid vom 2 6. November 201 9. Die vollständigen IV-Akten seien am 1 9. August 2020 beim Rechtsvertreter eingegangen , womit d ie Beschwerdefrist vorliegend gewahrt sei (vgl. Urk. 1 S. 2 f.).</w:t>
      </w:r>
    </w:p>
    <w:p>
      <w:r>
        <w:t>Die Beschwerdegegnerin führte diesbezüglich aus, dass ihr der Vorbescheid vom 2 6. November 2019 postalisch retourniert worden sei , da der Empfänger unter der angegebenen Adresse nicht habe ermittelt werden können. Die Einwohner kon trolle Y.___ habe die Adresse auf telefonische Nachfrage hin bestätigt, allerdings habe diese präzisiert, dass die Beschwerdeführerin an besagter Adresse unter ihrem ledigen Namen registriert sei. Mit Datum vom 1 2. Dezember 2020 wurde der Vorbescheid daher an die Beschwerdeführerin unter ihrem registerrechtlich bekannten Namen nachgesandt. Ein Einwand sei nicht erhoben worden. Mit Da tum vom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