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IV.2020.00545 vom 24. Juni 2020</w:t>
      </w:r>
    </w:p>
    <w:p>
      <w:r>
        <w:t>ZH Sozialversicherungsgericht, 2020-06-24, DE</w:t>
      </w:r>
    </w:p>
    <w:p>
      <w:r>
        <w:rPr>
          <w:b/>
        </w:rPr>
        <w:t xml:space="preserve">Quelle: </w:t>
      </w:r>
      <w:r>
        <w:t>https://mcp.opencaselaw.ch/entscheid/zh_sozialversicherungsgericht_IV.2020.00545</w:t>
      </w:r>
    </w:p>
    <w:p>
      <w:r>
        <w:t>FR: ZH_SOZIALVERSICHERUNGSGERICHT IV.2020.00545 du 24 juin 2020</w:t>
      </w:r>
    </w:p>
    <w:p>
      <w:r>
        <w:t>IT: ZH_SOZIALVERSICHERUNGSGERICHT IV.2020.00545 del 24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Gesetzes über das Sozialversicherungsgericht ( GSVGer )</w:t>
      </w:r>
    </w:p>
    <w:p>
      <w:r>
        <w:t>die obsiegende Beschwerde führende Person Anspruch auf Ersatz der Parteikosten hat,</w:t>
      </w:r>
    </w:p>
    <w:p>
      <w:r>
        <w:t>diese ohne Rücksicht auf den Streitwert nach der Bedeutung der Streitsache, der Schwierigkeit des Prozesses und dem Mass des Obsiegens bemessen werden (§ 34 Abs.</w:t>
      </w:r>
    </w:p>
    <w:p>
      <w:r>
        <w:rPr>
          <w:b/>
        </w:rPr>
        <w:t>E. 3</w:t>
      </w:r>
    </w:p>
    <w:p>
      <w:r>
        <w:t>Die Beschwerdegegnerin wird verpflichtet, dem Beschwerdeführer e ine Prozess entschädigung von Fr. 2’400 .-- (inklusive Barauslagen und Mehrwertsteuer ) zu bezahlen.</w:t>
      </w:r>
    </w:p>
    <w:p>
      <w:r>
        <w:rPr>
          <w:b/>
        </w:rPr>
        <w:t>E. 4</w:t>
      </w:r>
    </w:p>
    <w:p>
      <w:r>
        <w:t>Zustellung gegen Empfangsschein an: - Rechtsanwalt Michael Ausfeld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 zulegen, soweit die Partei sie in Händen hat ( Art. 42 BGG). Sozialversicherungsgericht des Kantons Zürich Der VorsitzendeDer Gerichtsschreiber GräubStocker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