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IV.2020.00532 vom 19. August 2021</w:t>
      </w:r>
    </w:p>
    <w:p>
      <w:r>
        <w:t>ZH Sozialversicherungsgericht, 2021-08-19, DE</w:t>
      </w:r>
    </w:p>
    <w:p>
      <w:r>
        <w:rPr>
          <w:b/>
        </w:rPr>
        <w:t xml:space="preserve">Quelle: </w:t>
      </w:r>
      <w:r>
        <w:t>https://mcp.opencaselaw.ch/entscheid/zh_sozialversicherungsgericht_IV.2020.00532</w:t>
      </w:r>
    </w:p>
    <w:p>
      <w:r>
        <w:t>FR: ZH_SOZIALVERSICHERUNGSGERICHT IV.2020.00532 du 19 août 2021</w:t>
      </w:r>
    </w:p>
    <w:p>
      <w:r>
        <w:t>IT: ZH_SOZIALVERSICHERUNGSGERICHT IV.2020.00532 del 19 agosto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X.___ , geboren 1968, ist gelernter Eisenwarenverkäufer und arbeitete als Fachverkäufer für verschiedene Heimwerkermärkte, unter anderem von August 2008 bis Februar 2011 als Standortleiter eines Werkzeugfachmarktes ( Urk. 10/90/5), zwischenzeitlich auch in selbständiger Stellung als mobiler Eisen warenhändler (vgl. Urk. 10/90/1-3). Nach einer ersten</w:t>
      </w:r>
    </w:p>
    <w:p>
      <w:r>
        <w:t>Anmeldung vom 20. Dezember 2007 unter Hinweis auf Rückenbeschwerden ( Urk. 10/3) gewährte die Sozialversicherungsanstalt des Kantons Zürich, IV-Stelle, nach getätigten medizinischen ( Urk. 10/15-16, Urk. 10/19) und erwerblichen ( Urk. 10/24, Urk. 10/35) Abklärungen Arbeitsvermittlung ( Urk. 10/26), welche sie nach An stellung als Filialleiter per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