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IV.2020.00506 vom 27. November 2020</w:t>
      </w:r>
    </w:p>
    <w:p>
      <w:r>
        <w:t>ZH Sozialversicherungsgericht, 2020-11-27, DE</w:t>
      </w:r>
    </w:p>
    <w:p>
      <w:r>
        <w:rPr>
          <w:b/>
        </w:rPr>
        <w:t xml:space="preserve">Quelle: </w:t>
      </w:r>
      <w:r>
        <w:t>https://mcp.opencaselaw.ch/entscheid/zh_sozialversicherungsgericht_IV.2020.00506</w:t>
      </w:r>
    </w:p>
    <w:p>
      <w:r>
        <w:t>FR: ZH_SOZIALVERSICHERUNGSGERICHT IV.2020.00506 du 27 novembre 2020</w:t>
      </w:r>
    </w:p>
    <w:p>
      <w:r>
        <w:t>IT: ZH_SOZIALVERSICHERUNGSGERICHT IV.2020.00506 del 27 novembre 2020</w:t>
      </w:r>
    </w:p>
    <w:p>
      <w:pPr>
        <w:pStyle w:val="Heading2"/>
      </w:pPr>
      <w:r>
        <w:t>Erwägungen</w:t>
      </w:r>
    </w:p>
    <w:p>
      <w:r>
        <w:rPr>
          <w:b/>
        </w:rPr>
        <w:t>E. 1</w:t>
      </w:r>
    </w:p>
    <w:p>
      <w:r>
        <w:t>). Im Rahmen der Abklärungen gab die IV-Stelle ein Gutachten in Auf trag (interdisziplinäres Gutachten vom 26. Juni 2014; Dr. med. Z.___ , Facharzt FMH für Innere Medizin und Rheumaerkrankungen, Dr. med. A.___ , Facharzt FMH für Psychi atrie und Psychotherapie; Urk. 8 /106). In Bestätigung des Vorbe scheids vom 23. Juli 2 014 verfügte sie am 24. September 2014 erneut die Abwei sung des Rentenbegehrens (Urk. 8 /119). Die dagegen erhobene Beschwerde wies das hiesige Gericht mit Urteil vom 26. Januar 2016 ab (Urk. 8 /128).</w:t>
      </w:r>
    </w:p>
    <w:p>
      <w:r>
        <w:rPr>
          <w:b/>
        </w:rPr>
        <w:t>E. 1.1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(BGE 132 V 368 E. 3.1 mit Hinweisen).</w:t>
      </w:r>
    </w:p>
    <w:p>
      <w:r>
        <w:t>Nach der Rechtsprechung des Bundesgerichts kann eine Verletzung der nach Art. 19 VwVG in Verbindung mit Art. 57, 58 und 60 BZP für den Beizug von Sachverständigen geltenden Verfahrensregeln, insbesondere der Vorschriften, wonach den Parteien Gelegenheit zu geben ist, zur Ernennung von Sachverstän digen Stellung zu nehmen ( Art. 58 Abs. 2 BZP) und sich zu den Fragen zu äus sern, deren Begutachtung beabsichtigt ist ( Art. 57 Abs. 2 BZP), als geheilt gelten, wenn das Gericht den angefochtenen Entscheid in rechtlicher und tatsächlicher Hinsicht frei überprüfen kann. In gleichem Sinn hat das Bundesgericht im Falle eines von der SUVA eingeholten blossen Aktengutachtens entschieden und eine Verletzung der Vorschriften von Art. 58 Abs. 2 und 57 Abs. 2 BZP als geheilt betrachtet, nachdem der Beschwerdeführer sowohl während des Einsprache- als auch im anschliessenden Beschwerdeverfahren Gelegenheit hatte, entsprechende Einwendungen vorzubringen.</w:t>
      </w:r>
    </w:p>
    <w:p>
      <w:r>
        <w:t>Eine Heilungsmöglichkeit entfällt rechtspr echungsgemäss jedoch bei schwer wie genden Verletzungen der in den Art. 57 ff. BZP garantierten Gehörs- und Mit wirkungsrechte. Davon abgesehen ist im sozialversicherungsrechtlichen Verfü gungsverfahren jeweils sorgfältig zu prüfen, ob eine Missachtung der Verfahrens garantien von Art. 57 ff. BZP, insbesondere von Art. 58 Abs. 2, Art. 59 Abs. 1 und Art. 60 BZP nicht an sich einen schwer wiegenden Verfahrensmangel dar stellt, bei dem eine Heilungsmöglichkeit entfällt (BGE 126 V 130 E. 2b, 120 V 357 E. 2b mit Hinweisen). Die zitierte Rechtsprechung betreffend die Heilung von Ver fahrensmängeln hat in gleicher Weise auch auf die seit 1. Januar 2003 in Kraft stehende, für den Beizug von Sachverständigen geltende Verfahrensregel von Art. 44 des Bundesgesetz es über den Allgemeinen Teil des Sozialversicherungs rechts (ATSG) zu gelten.</w:t>
      </w:r>
    </w:p>
    <w:p>
      <w:r>
        <w:rPr>
          <w:b/>
        </w:rPr>
        <w:t>E. 1.2</w:t>
      </w:r>
    </w:p>
    <w:p>
      <w:r>
        <w:t>Muss der Versicherungsträger zur Abklärung des Sachverhaltes ein Gutachten einer oder eines unabhängigen Sachverständigen einholen, so gibt er der Partei deren oder dessen Namen bekannt. Diese kann den Gutachter aus triftigen Grün den ablehnen und kann Gege nvorschläge machen (Art. 44 ATSG). Weiter besteht ein Anspruch darauf, sich vorgängig zu den Gutachterfragen zu äussern, dagegen Einwände zu erheben und Ergänzungsfragen zu stellen (BGE 137 V 210 E. 3.4.2.9; vgl. auch Kieser , ATSG-Kommentar, 3. Auflage, Rz . 30 zur Art. 44).</w:t>
      </w:r>
    </w:p>
    <w:p>
      <w:r>
        <w:rPr>
          <w:b/>
        </w:rPr>
        <w:t>E. 1.3</w:t>
      </w:r>
    </w:p>
    <w:p>
      <w:r>
        <w:t>Das verfassungsrechtliche Gebot der Begründungspflicht ( Art.</w:t>
      </w:r>
    </w:p>
    <w:p>
      <w:r>
        <w:rPr>
          <w:b/>
        </w:rPr>
        <w:t>E. 1.4</w:t>
      </w:r>
    </w:p>
    <w:p>
      <w:r>
        <w:t>Im Rahmen der weiteren Anspruchsprüfung gab die IV-Stelle eine polydiszipli näre Abklärung in Auftrag; das entsprechende D.___ -Gutachten datiert vom 2 1. März 2019 ( Urk. 8/206). Mit Vorbescheid vom 2 8. Juni 2019 stellte die IV-Stelle die Abweisung des Leistungsbegehrens in Aussicht (Urk. 8/211) und hielt an diesem Entscheid – nach weiteren medizinischen Abklärungen ( Urk. 8/228) – mit Verfügung vom 1 9. Juni 2020 fest ( Urk. 8/234 = Urk. 2).</w:t>
      </w:r>
    </w:p>
    <w:p>
      <w:r>
        <w:rPr>
          <w:b/>
        </w:rPr>
        <w:t>E. 2</w:t>
      </w:r>
    </w:p>
    <w:p>
      <w:r>
        <w:t>Dagegen erhob die Vertreterin des Versicherten am</w:t>
      </w:r>
    </w:p>
    <w:p>
      <w:r>
        <w:rPr>
          <w:b/>
        </w:rPr>
        <w:t>E. 2.1</w:t>
      </w:r>
    </w:p>
    <w:p>
      <w:r>
        <w:t>Die Beschwerdegegnerin begründete die angefochtene Verfügung damit, dass gestützt auf die polydisziplinäre Abklärung in der bisherigen Tätigkeit als All rounder in der Baubranche von einer Arbeitsfähigkeit von 70 % auszugehen sei. Während der Dauer des Wartejahres sei der Beschwerdeführer nie mehr als 40 % arbeitsunfähig gewesen, womit kein Anspruch auf eine Rente entstehe (Urk. 2).</w:t>
      </w:r>
    </w:p>
    <w:p>
      <w:r>
        <w:rPr>
          <w:b/>
        </w:rPr>
        <w:t>E. 2.2</w:t>
      </w:r>
    </w:p>
    <w:p>
      <w:r>
        <w:t>Demgegenüber machte der Beschwerdeführer in formeller Hinsicht im Wesent - lichen geltend, dass auf das D.___ -Gutachten nicht abgestellt wer den könne, da es unter ganz erheblichen formellen Mängeln leide. So hätten die für den Bereich Allgemeine Innere Medizin vorgesehenen Gutachter bei der Erstellung des Gutachtens gar nicht mitgewirkt, zudem sei die neuropsychologi sche Unter - suchung von einer nicht angekündigten Gutachterin durchgeführt worden ( Urk. 1 S. 5). Auf das entsprechende Gutachten dürfe deshalb nicht abgestellt werden, da es fehlerhaft zustande gekommen sei (S. 6). 3 . 3 .1</w:t>
      </w:r>
    </w:p>
    <w:p>
      <w:r>
        <w:t>Unbestritten ist vorliegend, dass die neuropsychologische Untersuchung im Rah men der D.___ -Begutachtung durch lic . phil .</w:t>
      </w:r>
    </w:p>
    <w:p>
      <w:r>
        <w:t>E.___ , Fachpsychologin für Neuropsychologie, erfolgte, wobei der als Gutachter angekündigte lic . phil .</w:t>
      </w:r>
    </w:p>
    <w:p>
      <w:r>
        <w:t>F.___ , Neuropsychologe FSP, zertifizierter medizinischer Gutachter SIM , lediglich die Supervision übernahm. Weiter fand im Rahmen des Gutachtens im Bereich All gemeine Innere Medizin keine eigenständige Abklärung statt, wobei die dafür vorgesehenen Dr. med. G.___ sowie med. pract . H.___ an der Erstellung des Gutachtens gar nicht mitwirkten ( Urk. 8/184, Urk. 8/206/2).</w:t>
      </w:r>
    </w:p>
    <w:p>
      <w:r>
        <w:t>Die vorgängige Mitteilung der begutachtenden Personen dient der Geltendma chung allfälliger Einwände</w:t>
      </w:r>
    </w:p>
    <w:p>
      <w:r>
        <w:t>gegen die genannten Sachverständigen über in deren Person liegende Umstände, die geeignet wären , bereits vor der Durchführung der Begutachtung Misstrauen in die Unparteilichkeit zu erwecken (z.B. fehlende fach liche Kompetenz, mögliche persönliche Verstrickungen mit der Auftraggeberin, Vorbefassung, welche auf eine Voreingenommenheit schliessen lassen würde) . Der Versicherte hat die Pflicht, einen Ausstandsgrund sofort zu rügen (vgl. Bun desgerichtsentscheid 9C_1012/2012 vom 4. Juni 2013 E. 3.2). Gemäss bundesge richtlicher Rechtsprechung wird hinsichtlich der Verfahrensgarantien betreffend Art. 58 Abs. 2, Art. 59 Abs. 1 und Art. 60 BZP (Ausstands- und Ablehnungs gründe, Ermahnung zur Erstattung des Gutachtens nach bestem Wissen und Gewissen sowie zur Unpar teilichkeit, Form des Gutachtens) eine eingehende Prü fung gefordert (BGE 120 V 357 E. 2b).</w:t>
      </w:r>
    </w:p>
    <w:p>
      <w:r>
        <w:t>Mit Schreiben vom 3. Juli 2019 erhob der Vertreter des Versicherten Einwand gegen den am 28. Juni 2019 ergangenen Vorbescheid (Urk. 8/211) , bat um Zustellung der massgebenden Akten und um eine Frist von 30 Tagen zur ergän zenden Begründung ( Urk. 8/212). Den gestellten Anträgen kam die Beschwerde gegnerin mit Schreiben vom 8. Juli 2019 nach ( Urk. 8/213). Im Rahmen der ergänzenden Begründung des Einwandes vom 1 0. September 2019 machte der Vertreter des Versicherten insbesondere eine Verletzung von Art. 44 ATSG gel tend. So habe eine versicherte Person Anspruch darauf, dass sie von allen ange kündigten Gutachtern untersucht werde, zumal auf eine Untersuchung im Bereich Allgemeine Innere Medizin offenbar stillschweigend verzichtet worden sei; zudem rechtfertige es sich nicht, den erfahrenen Neuropsychologen F.___ plötz lich nur noch als Supervisor statt als eigentlichen Gutachter wirken zu lassen ( Urk. 8/217 S. 2 f.).</w:t>
      </w:r>
    </w:p>
    <w:p>
      <w:r>
        <w:t>Die vom Vertreter des Versicherten bereits im Rahmen des Einwands vorgebrach ten Rügen sind nicht von der Hand zu weisen. So werden im Rahmen des Ver fahrens keine Gründe geltend gemacht, wieso auf die angedachte eigenständige Abklärung im Bereich Allgemeine Innere Medizin verzichtet worden ist; weiter erfolgte die Änderung der Fallführung im Bereich Neuropsychologie ohne Begründung und ohne vorgängige Mitteilung. Damit ist grundsätzlich von einer Verletzung der verfahrensrechtlichen Garantien auszugehen. Allerdings ist die Delegation als solche nicht unzulässig (Urteil des Bundesgerichts 8C_213/2010 vom 3. August 2010 E. 2.3). Auch hat der Versicherte die Pflicht, einen Aus standsgrund sofort zu rügen (Urteil des Bundesgerichts 9C_1012/2012 vom 4. Juni 2012 E. 3.2), was vorliegend weder im Einwand- noch im Beschwerdever fahren erfolgt ist (vgl. Urk. 1 S. 5 Ziff. 14, Urk. 8/217 S. 2 Ziff. 3). 3 .2</w:t>
      </w:r>
    </w:p>
    <w:p>
      <w:r>
        <w:t>Weiter ist auch bezüglich der im Rahmen des Einwands vorgetragenen Rügen eine Verletzung des rechtlichen Gehörs zu erblicken. So wurden die Einwände von der Beschwerdegegnerin im Rahmen des Feststellungsblatt s zwar zur Kennt nis genommen ( Urk. 8/233 S. 2). Eine weitergehende Anspruchsprüfung erfolgte aber nur in materieller Hinsicht. So wurde den D.___ -Gutachtern sowohl im Bereich Psychiatrie als auch Neurologie eine Zusatzfrage zur Beantwortung unterbreitet (vgl. Schreiben vom 4. April 2020, Urk. 8/228). In der Folge wurde aber weder in der angefochtenen Verfügung noch im Rahmen der Beschwerde antwort auf die formellen Rügen des Beschwerdeführers eingegangen. Damit wurde die Begründungspflicht verletzt (vgl. E. 1.3).</w:t>
      </w:r>
    </w:p>
    <w:p>
      <w:r>
        <w:rPr>
          <w:b/>
        </w:rPr>
        <w:t>E. 3</w:t>
      </w:r>
    </w:p>
    <w:p>
      <w:r>
        <w:t>1. Juli 2020 Beschwerde und beantragte, es sei dem Beschwerdeführer mindestens eine halbe Rente der IV zuzusprechen, eventualiter sei ein neues Gutachten erstellen zu lassen; dem Beschwerdeführer sei eine Prozessentschädigung zuzusprechen ( Urk. 1 S. 2).</w:t>
      </w:r>
    </w:p>
    <w:p>
      <w:r>
        <w:t>Mit Beschwerdeantwort vom 1 6. September 2020 beantragte die Beschwerdegeg nerin die Abweisung der Beschwerde ( Urk. 7), was dem Beschwerdeführer mit Verfügung vom 2 1. September 2020 zur Kenntnis gebracht wurde ( Urk. 9). Das Gericht zieht in Erwägung: 1.</w:t>
      </w:r>
    </w:p>
    <w:p>
      <w:r>
        <w:rPr>
          <w:b/>
        </w:rPr>
        <w:t>E. 3.3</w:t>
      </w:r>
    </w:p>
    <w:p>
      <w:r>
        <w:t>Zusammenfassend ist von einer Verletzung der gemäss Art. 44 ATSG garantierten Rechte auszugehen; weiter liegt auch hinsichtlich der mangelhaften Begründung der Verfügung eine Verletzung des rechtlichen Gehörs vor. Letzteres führt zur Rückweisung der Sache an die Beschwerdegegnerin zur rechtsgenüglichen Begründung des angefochtenen Entscheids und Auseinandersetzung mit den im Einwand erhobenen formellen Rügen des Beschwerdeführers. 4. 4.1</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 es</w:t>
      </w:r>
    </w:p>
    <w:p>
      <w:r>
        <w:t>über die Invalidenversicherung; IVG ) und auf Fr. 6 00.-- anzusetzen. Entsprechend dem Aus gang des Verfahrens sind sie der Beschwerdegegnerin aufzuerlegen. 4.2</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 erigkeit des Prozesses auf Fr. 2'3 00.-- (inklusive Barauslagen und Mehrwertsteuer) festzusetzen ist. Das Gericht erkennt: 1.</w:t>
      </w:r>
    </w:p>
    <w:p>
      <w:r>
        <w:t>Die Beschwerde wird in dem Sinne gutgeheissen, dass die angefochtene Verfügung vom 1 9. Juni 2020 aufgehoben und die Sache an die Sozialversicherungsanstalt des Kantons Zürich, IV-Stelle, zu rückgewiesen wird, damit diese im Sinne der Erwägungen verfahre und ihren Entscheid rechtsgenüglich begründe.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2’300 .-- ( inklusive Barauslagen und Mehrwertsteuer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8</w:t>
      </w:r>
    </w:p>
    <w:p>
      <w:r>
        <w:t>Abs. 1 BV) soll nach der Rechtsprechung zu Art. 4 Abs. 1 aBV verhindern, dass sich die Behörde von unsachlichen Motiven leiten lässt, und dem Betroffenen ermöglichen, die Verfügung gegebenenfalls sachgerecht anzufechten. Dies ist nur möglich, wenn sowohl er wie auch die Rechtsmittelinstanz sich über die Tragweite des Entschei des ein Bild machen können. In diesem Sinn müssen wenigstens kurz die Über legungen genannt werden, von denen sich die Behörde hat leiten lassen und auf welche sich ihre Verfügung stützt ( BGE 126 V 75 E. 5b/ dd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