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IV.2020.00426 vom 11. Oktober 2016</w:t>
      </w:r>
    </w:p>
    <w:p>
      <w:r>
        <w:t>ZH Sozialversicherungsgericht, 2016-10-11, DE</w:t>
      </w:r>
    </w:p>
    <w:p>
      <w:r>
        <w:rPr>
          <w:b/>
        </w:rPr>
        <w:t xml:space="preserve">Quelle: </w:t>
      </w:r>
      <w:r>
        <w:t>https://mcp.opencaselaw.ch/entscheid/zh_sozialversicherungsgericht_IV.2020.00426</w:t>
      </w:r>
    </w:p>
    <w:p>
      <w:r>
        <w:t>FR: ZH_SOZIALVERSICHERUNGSGERICHT IV.2020.00426 du 11 octobre 2016</w:t>
      </w:r>
    </w:p>
    <w:p>
      <w:r>
        <w:t>IT: ZH_SOZIALVERSICHERUNGSGERICHT IV.2020.00426 del 11 ottobre 2016</w:t>
      </w:r>
    </w:p>
    <w:p>
      <w:pPr>
        <w:pStyle w:val="Heading2"/>
      </w:pPr>
      <w:r>
        <w:t>Erwägungen</w:t>
      </w:r>
    </w:p>
    <w:p>
      <w:r>
        <w:rPr>
          <w:b/>
        </w:rPr>
        <w:t>E. 1.1</w:t>
      </w:r>
    </w:p>
    <w:p>
      <w:r>
        <w:t>Versicherte mit vollendetem 20. Altersjahr, die vor der Beeinträchtigung ihrer körperlichen, geistigen oder psychischen Gesundheit nicht erwerbstätig waren und denen eine Erwerbstätigkeit nicht zugemutet werden kann, gelten nach Art. 5 Abs. 1 des Bundesgesetz es über die Invalidenversicherung (IVG) in Verbindung mit Art. 8 Abs. 3 des Bundesgesetz es über den Allgemeinen Teil des Sozialver sicherungsrechts (ATSG) als invalid, wenn eine Unmöglichkeit vorliegt, sich im bisherigen Aufgabenbereich zu betätigen. Art. 7 Abs. 2 ATSG ist sinngemäss an wendbar. Demnach sind für die Beurteilung des Vorliegens einer Erwerbsunfähig keit ausschliesslich die Folgen der gesundheitlichen Beeinträchtigung zu berück sichtigen. Eine Erwerbsunfähigkeit liegt zudem nur vor, wenn sie aus objektiver Sicht nicht überwindbar ist.</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Die Arbeitsunfähigkeit im Sinne von Art. 28 Abs. 1 lit . b IVG entspricht der Ein busse an funktionellem Leistungsvermögen im bisherigen Beruf oder Aufgaben bereich (Art. 6 ATSG; BGE 130 V 97 E. 3.2). Bei der Bemessung der Invalidität von im Haushalt tätigen Versicherten ist die Schadenminderungspflicht von erhe b licher Relevanz. Nach der Rechtsprechung ist dabei vom Grundsatz auszugehen, dass einem Leistungsansprecher im Rahmen der Schadenminderungspflicht Mass nahmen zuzumuten sind, die ein vernünftiger Mensch in der gleichen Lage ergrei fen würde, wenn er keinerlei Entschädigung zu erwarten hätte. Für die im Haus halt tätigen Versicherten bedeutet dies, dass sie Verhaltensweisen zu entwickeln haben, welche die Auswirkungen der Behinderung im hauswirtschaftlichen Be reich reduzieren und ihnen eine möglichst vollständige und unabhängige Erledi gung der Haushaltarbeiten ermöglichen. Kann die versicherte Person wegen ihrer Behinderung gewisse Haushaltarbeiten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 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 bemessung bei einer Hausfrau zu berücksichtigende Mithilfe von Familienan ge hörigen geht daher weiter als die ohne Gesundheitsschädigung üblicherweise zu erwartende Unterstützung. Geht es um die Mitarbeit von Familienangehörigen, ist danach zu fragen, wie sich eine vernünftige Familiengemeinschaft einrichten würde, wenn keine Versicherungsleistungen zu erwarten wären. Dabei darf nach der Rechtsprechung unter dem Titel der Schadenminderungspflicht nicht etwa die Bewältigung der Haushalttätigkeit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Schliesslich vermag die Tatsache, dass sich die der Rechtsprechung zugrundeliegenden, in Art. 159 Abs. 2 und 3 des Schweizerischen Zivilgesetzbuches (ZGB) zwischen den Ehegatten und in Art. 272 ZGB zwischen Eltern und Kindern statuierten Beistandspflichten nicht unmittelbar durchsetzen lassen (d.h. weder klagbar noch vollstreckbar sind), sondern nur freiwillig erfüllt werden können, an der Schadenminderungspflicht der im Haushalt beschäftigten Versicherten nichts zu ändern. Denn wie auch im Erwerbsbereich darauf abzustellen ist, ob die verbleibende Erwerbsfähigkeit auf einem ausgeglichenen Arbeitsmarkt grundsätzlich verwertbar ist, unabhängig da von, ob eine solche Anstellung rechtlich durchsetzbar ist, ist auch in Bezug auf den Haushaltbereich davon auszugehen, was in der sozialen Realität üblich und zumutbar ist, unabhängig davon, ob eine Mithilfe rechtlich durchsetzbar ist (BGE 133 V 504 E. 4.2 mit Hinweisen).</w:t>
      </w:r>
    </w:p>
    <w:p>
      <w:r>
        <w:rPr>
          <w:b/>
        </w:rPr>
        <w:t>E. 1.4</w:t>
      </w:r>
    </w:p>
    <w:p>
      <w:r>
        <w:t>Die von einer qualifizierten Person durchgeführte Abklärung vor Ort (nach Mass gabe des Art. 69 Abs. 2 der Verordnung über die Invalidenversicherung [IVV], vgl. auch Rz . 3081 ff. des Kreisschreibens über Invalidität und Hilflosigkeit in der Invalidenversicherung, KSIH) stellt für gewöhnlich die geeignete und genügende Vorkehr zur Bestimmung der gesundheitlichen Einschränkung im Haushalt dar.</w:t>
      </w:r>
    </w:p>
    <w:p>
      <w:r>
        <w:t>Hinsichtlich des Beweiswerts der entsprechenden Berichterstattung ist wesentlich, dass sie durch eine qualifizierte Person erfolgt, die Kenntnis der örtlichen und räumlichen Verhältnisse sowie der aus den medizinischen Diagnosen sich erge benden Beeinträchtigungen und Behinderungen hat. Weiter sind die Angaben der versicherten Person zu berücksichtigen, wobei divergierende Meinungen der Beteiligten im Bericht aufzuzeigen sind. Der Berichtstext schliesslich muss plau sibel, begründet und angemessen detailliert bezüglich der einzelnen Einschrän kungen sein sowie in Übereinstimmung mit den an Ort und Stelle erhobenen Angaben stehen (Urteil des Bundesgerichts 9C_671/2017 vom 12. Juli</w:t>
      </w:r>
    </w:p>
    <w:p>
      <w:r>
        <w:t>2018 E. 4.2). 2.</w:t>
      </w:r>
    </w:p>
    <w:p>
      <w:r>
        <w:rPr>
          <w:b/>
        </w:rPr>
        <w:t>E. 2</w:t>
      </w:r>
    </w:p>
    <w:p>
      <w:r>
        <w:t>Dagegen erhob die Versicherte am 25 . Juni 20 20 Beschwerde (Urk. 1) mit dem sinngemässen Antrag, es sei die Verfügung vom 28 . Mai</w:t>
      </w:r>
    </w:p>
    <w:p>
      <w:r>
        <w:t>2020 aufzuheben und ihr sei eine Invalidenrente zuzusprechen.</w:t>
      </w:r>
    </w:p>
    <w:p>
      <w:r>
        <w:t>Die Beschwerdegegnerin beantragte am 31 . August 20 20 (Urk. 4) Abweisung der Beschwerde, was der Versicherten mit Verfügung am 1 . September 20 20 (Urk. 6) zur Kenntnis gebracht wurde. Das Gericht zieht in Erwägung: 1.</w:t>
      </w:r>
    </w:p>
    <w:p>
      <w:r>
        <w:rPr>
          <w:b/>
        </w:rPr>
        <w:t>E. 2.1</w:t>
      </w:r>
    </w:p>
    <w:p>
      <w:r>
        <w:t>Die Beschwerdegegnerin begründete ihre leistungs abweisende Verfügung vom 28 . Mai 20 20 (Urk. 2/1 ) – gestützt auf den Haushaltsabklärungsbericht vom</w:t>
      </w:r>
    </w:p>
    <w:p>
      <w:r>
        <w:rPr>
          <w:b/>
        </w:rPr>
        <w:t>E. 2.2</w:t>
      </w:r>
    </w:p>
    <w:p>
      <w:r>
        <w:t>Die Beschwerdeführerin brachte demgegenüber in ihrer Beschwerde vom 25 . Juni</w:t>
      </w:r>
    </w:p>
    <w:p>
      <w:r>
        <w:t>2020 (Urk. 1) vor, sie brauche vermehrt die Unterstützung von anderen Personen im Haushalt. Die Abweisung ihres Begehrens werde damit begründete, dass sie Personen im Haushalt habe, die alles machen würden beziehungsweise ihr die Arbeit abnehmen könnten. Es könne doch nicht sein, dass man sie für eine Invalidenrente, die ihrer Meinung nach bei 40-50 % liege, in eine Wohnung zwinge, wo sie alleine auf sich angewiesen sei und dadurch der Invaliditätsgrad höher wäre. Ihre Familienmitglieder könnten und dürften nicht als eine Entlas tung für sie gerechnet werden. 3. 3.1</w:t>
      </w:r>
    </w:p>
    <w:p>
      <w:r>
        <w:t>Gestützt auf die Ergebnisse ihrer internistischen, pneumologischen , neurolo gi schen und psychiatrischen Untersuchung stellten die Y.___ -Gutachter (Dr. med.</w:t>
      </w:r>
    </w:p>
    <w:p>
      <w:r>
        <w:t>Z.___ , Facharzt Allgemeine Innere Medizin, Dr. med. A.___ , Facharzt Allge meine Innere Medizin , Kardiologie und Pneumologie FMH, Dr. med. B.___ , Fach ärztin Neurologie, und Dr. med. C.___ , Facharzt Psychiatrie und Psychotherapie FMH) in ihrer Expertise vom 11. Juli 2016 (Urk. 5/33) folgende Diagnosen mit Relevanz hinsichtlich der Arbeitsfähigkeit als Hausfrau (S. 18): - Status nach rezidivierenden zerebralen Insulten mit geringradiger</w:t>
      </w:r>
    </w:p>
    <w:p>
      <w:r>
        <w:t>residueller Hemiparese links (1989 und 2007) - im CT Parenchymdefekt rechts in Insula , Capsula</w:t>
      </w:r>
    </w:p>
    <w:p>
      <w:r>
        <w:t>externa und Caput nuclei</w:t>
      </w:r>
    </w:p>
    <w:p>
      <w:r>
        <w:t>caudati am ehesten thromboembolisch bei mechanischen Klap pen und ungenügender Antikoagulation - Status nach TIA Januar 2014 - Sarkoidose - Pulmonale Sarkoidose</w:t>
      </w:r>
    </w:p>
    <w:p>
      <w:r>
        <w:t>Scadding -Stadium II, ED November 2014 - restriktive Ventilationsstörung - Valvuläre und hypertensive Herzkrankheit - Status nach mechanischem Mitralklappenersatz und Trikuspidalplastik 1990 (Belgrad) - Vorhofflimmern unter oraler Antikoagulation - Normale Funktion der Klappenprothesen - Status nach linksführender kardialer Dekompensation November 2013 und November 2014 - Normale linksventrikuläre Funktion - Verdacht auf Medikamenten- Malcompliance Zudem stellten sie unter anderem folgende Diagnosen ohne Auswirkungen auf die Arbeitsfähigkeit (S. 18; gekürzt wiedergegeben): - Andere Angststörung (ICD-10 F41) - Adipositas Grad I (BMI 34,6) - Chronisch venöse Insuffizienz (Diagnose März 2014)</w:t>
      </w:r>
    </w:p>
    <w:p>
      <w:r>
        <w:t>Die Gutachter hielten fest, dass bei der Beschwerdeführerin in der angestammten Tätigkeit als Hausfrau aus psychiatrischer Sicht eine uneingeschränkte Arbeits fähigkeit bestehe. Aus neurologischen Gründen liege in der angestammten Tätigkeit als Hausfrau eine Arbeitsfähigkeit von 70 % bei einem Zeitprofil von 8,5 Stunden vor. Aus pneumologischen Gründen müsse von einer Reduktion der Arbeitsfähigkeit als Hausfrau auf ca. 70 % ausgegangen werden, vollschichtig mit einer Leistungsfähigkeit von 70 %. Diese Leistungsminderungen verhielten sich interdisziplinär nicht additiv oder kumulativ; die Leistungsfähigkeit betrage global 70 % bei vollem Arbeitspensum von 8,5 Stunden täglich an 5 Tagen die Woche (S. 18 f. ). Aus gutachterlicher Sicht sei das von der Beschwerdeführerin angenommene «völlige Unvermögen», eine Tätigkeit auszuüben, nicht nachvoll ziehbar respektive nicht begründbar. Das dargestellte Ausmass der Pas sivität lasse sich nicht auf dem Boden krankheitswerter Diagnosen begründen. Es sei nicht verständlich, weshalb sich die Beschwerdeführerin nicht an der Besorgung des Haushaltes beteilige (S. 2 1 f. ). 3.2</w:t>
      </w:r>
    </w:p>
    <w:p>
      <w:r>
        <w:t>Die für die Haushaltsabklärung vom 30 . Januar 2020 (Bericht vom</w:t>
      </w:r>
    </w:p>
    <w:p>
      <w:r>
        <w:rPr>
          <w:b/>
        </w:rPr>
        <w:t>E. 6</w:t>
      </w:r>
    </w:p>
    <w:p>
      <w:r>
        <w:t>ATSG) gewesen sind; und c.</w:t>
      </w:r>
    </w:p>
    <w:p>
      <w:r>
        <w:t>nach Ablauf dieses Jahres zu mindestens 40 % invalid ( Art.</w:t>
      </w:r>
    </w:p>
    <w:p>
      <w:r>
        <w:rPr>
          <w:b/>
        </w:rPr>
        <w:t>E. 8</w:t>
      </w:r>
    </w:p>
    <w:p>
      <w:r>
        <w:t>ATSG) sind.</w:t>
      </w:r>
    </w:p>
    <w:p>
      <w:r>
        <w:rPr>
          <w:b/>
        </w:rPr>
        <w:t>E. 12</w:t>
      </w:r>
    </w:p>
    <w:p>
      <w:r>
        <w:t>. Februar 2020 beweiskräftig und es ist darauf abzustellen. Somit ist von einer Einschränkung von 19.25 % auszugehen (vgl. E. 3.2), was zur Abweisung der Beschwerde führt. 6.</w:t>
      </w:r>
    </w:p>
    <w:p>
      <w:r>
        <w:t>Die Verfahrenskosten gemäss Art. 69 Abs. 1 bis IVG sind auf Fr. 7 00.-- festzu setzen und ausgangsgemäss der Beschwerdeführerin aufzuerlegen. Das Gericht erkennt: 1.</w:t>
      </w:r>
    </w:p>
    <w:p>
      <w:r>
        <w:t>Die Beschwerde wird abgewiesen. 2.</w:t>
      </w:r>
    </w:p>
    <w:p>
      <w:r>
        <w:t>Die Gerichtskosten von Fr. 7 00 .-- werden der Beschwerdeführerin auferlegt. 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