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IV.2020.00377 vom 6. Februar 2018</w:t>
      </w:r>
    </w:p>
    <w:p>
      <w:r>
        <w:t>ZH Sozialversicherungsgericht, 2018-02-06, DE</w:t>
      </w:r>
    </w:p>
    <w:p>
      <w:r>
        <w:rPr>
          <w:b/>
        </w:rPr>
        <w:t xml:space="preserve">Quelle: </w:t>
      </w:r>
      <w:r>
        <w:t>https://mcp.opencaselaw.ch/entscheid/zh_sozialversicherungsgericht_IV.2020.00377</w:t>
      </w:r>
    </w:p>
    <w:p>
      <w:r>
        <w:t>FR: ZH_SOZIALVERSICHERUNGSGERICHT IV.2020.00377 du 6 février 2018</w:t>
      </w:r>
    </w:p>
    <w:p>
      <w:r>
        <w:t>IT: ZH_SOZIALVERSICHERUNGSGERICHT IV.2020.00377 del 6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w:t>
      </w:r>
    </w:p>
    <w:p>
      <w:r>
        <w:t>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1.3</w:t>
      </w:r>
    </w:p>
    <w:p>
      <w:r>
        <w:t>Für den Einkommensvergleich sind die Verhältnisse im Zeitpunkt des (hypothe tischen) Beginns des Rentenanspruchs massgebend, wobei Validen- und Invali deneinkommen auf zeitidentischer Grundlage zu erheben und allfällige renten wirksame Änderungen der Vergleichseinkommen bis zum Verfügungserlass zu berücksichtigen sind (BGE 143 V 295 E. 4.1.3, 129 V 222 E. 4.1 und E. 4.2, 128 V 174).</w:t>
      </w:r>
    </w:p>
    <w:p>
      <w:r>
        <w:rPr>
          <w:b/>
        </w:rPr>
        <w:t>E. 1.4</w:t>
      </w:r>
    </w:p>
    <w:p>
      <w:r>
        <w:t>Der Rentenanspruch entsteht gemäss Art. 29 Abs. 1</w:t>
      </w:r>
    </w:p>
    <w:p>
      <w:r>
        <w:t>des Bundesgesetzes über die Invalidenversicherung (IVG)</w:t>
      </w:r>
    </w:p>
    <w:p>
      <w:r>
        <w:t>frühestens nach Ablauf von sechs Monaten nach Geltendmachung des Leistungsanspruchs.</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Der Versicherte erhob am 1 0. Juni 2020 Beschwerde gegen die Verfügung vom 1 1. Mai 2020 ( Urk. 2) und beantragte in der Hauptsache ( Urk. 1 S. 1 f.), diese sei aufzuheben ( Ziff. 1.1) und es sei ihm eine unbefristete halbe Rente zuzusprechen ( Ziff.</w:t>
      </w:r>
    </w:p>
    <w:p>
      <w:r>
        <w:rPr>
          <w:b/>
        </w:rPr>
        <w:t>E. 2.1</w:t>
      </w:r>
    </w:p>
    <w:p>
      <w:r>
        <w:t>Die Beschwerdegegnerin ging in der angefochtenen Verfügung ( Urk. 2) davon aus, gemäss dem 2019 erstatteten Gutachten sei dem Beschwerdeführer eine näher umschriebene angepasste Tätigkeit zu 100 % zumutbar, womit beim Abstellen auf statistische Löhne für Hilfsarbeiter zur Bestimmung des Invaliden einkommens ein Invaliditätsgrad von 14 % resultiere (S. 2). Den im Verwaltungs verfahren gegenüber dem eingeholten Gutachten erhobenen Einwänden stellte sie die diesbezügliche Stellungnahme der Gutachter gegenüber (S. 3 f.).</w:t>
      </w:r>
    </w:p>
    <w:p>
      <w:r>
        <w:rPr>
          <w:b/>
        </w:rPr>
        <w:t>E. 2.2</w:t>
      </w:r>
    </w:p>
    <w:p>
      <w:r>
        <w:t>Der Beschwerdeführer stellte sich demgegenüber auf den Standpunkt ( Urk. 1), mit der von ihm im März 2018 erhobenen Beschwerde habe er die mit Verfügung vom 6. Februar 2018 erfolgte Zusprache einer halben Rente nicht angefochten (S. 4 Ziff. 5.1) und diese sei in Rechtskraft erwachsen, weshalb die Beschwerde gegnerin für deren Herabsetzung einen Revisionsgrund nachzuweisen habe (S. 4 Ziff. 6). Diesen Nachweis habe sie nicht erbracht, vielmehr werde im Gutachten ausdrücklich die Arbeitsfähigkeit als seit November 2012 unverändert festgehal ten (S. 5 f. Ziff. 9) . Auch sei die erfolgte Rückforderung nicht zulässig (S. 6 Ziff. 11). Das Gutachten sei ferner - in näher gena nnter Hinsicht - mangelhaft (S.</w:t>
      </w:r>
    </w:p>
    <w:p>
      <w:r>
        <w:rPr>
          <w:b/>
        </w:rPr>
        <w:t>E. 2.3</w:t>
      </w:r>
    </w:p>
    <w:p>
      <w:r>
        <w:t>Strittig ist ein allfälliger Rentenanspruch des Beschwerdeführers , dies frühestens sechs Monate nach der am 2 0. Februar 2014 erfolgten Anmeldung (vorstehend E. 1.4) , mithin ab August 2014 .</w:t>
      </w:r>
    </w:p>
    <w:p>
      <w:r>
        <w:t>Über eine Rückforderung ist noch nicht verfügt worden, womit sie nicht im vor liegenden Verfahren zu beurteilen ist.</w:t>
      </w:r>
    </w:p>
    <w:p>
      <w:r>
        <w:t>3.</w:t>
      </w:r>
    </w:p>
    <w:p>
      <w:r>
        <w:t>Der Hauptstandpunkt des Beschwerdeführers - die Beschwerdegegnerin habe einen Revisionsgrund nachzuweisen - ist unzutreffend. Wohl ist richtig, dass - wie im Urteil von 2018 ausgeführt - bei der Zusprache einer befristeten Rente die erfolgte Befristung nur zulässig ist, wenn eine Verbesserung von Gesundheits zustand und Arbeitsfähigkeit im revisionsrechtlichen Sinne ausgewiesen sind ( Urk. 5/128 S. 3 f. E. 1.3).</w:t>
      </w:r>
    </w:p>
    <w:p>
      <w:r>
        <w:t>Der Beschwerdeführer übersieht jedoch, dass - unabhängig von den von ihm im vorangegangenen Verfahren gestellten Anträgen - die Verfügung vom 6. Februar 2018 mit Urteil des hiesigen Gerichts aufgehoben wurde ( Urk. 5/128 S. 10 Ziff. 1). Es kann mithin keine Rede davon sein, sie sei in Rechtskraft erwachsen, vielmehr hat sie aufgehört zu existieren. Dementsprechend hatte die Beschwerdegegnerin nach der gerichtlich angeordneten Rückweisung und Aufhebung der 2018 ergan genen Verfügung einen allfälligen Rentenanspruch wie bei jeder erstmaligen Anmeldung ab dem Zeitpunkt des frühestmöglichen Rentenbeginns zu prüfen, was sie denn auch getan hat.</w:t>
      </w:r>
    </w:p>
    <w:p>
      <w:r>
        <w:t>4. 4.1</w:t>
      </w:r>
    </w:p>
    <w:p>
      <w:r>
        <w:t>Am 2. Dezember 2014 berichte te Suva-Kreisarzt Dr. med.</w:t>
      </w:r>
    </w:p>
    <w:p>
      <w:r>
        <w:t>Y.___ , Facharzt für Chirurgie, über seine gleichentags erfolgte Abschlussuntersuchung (Urk. 5/32/103-108).</w:t>
      </w:r>
    </w:p>
    <w:p>
      <w:r>
        <w:t>Berufsanamnestisch hielt er fest, der Beschwerdeführer arbeite zu 50 % als Deckenmonteur im gleichen Betrieb, in welchem grosse Rücksicht genommen werde, dass er keine schweren Lasten heben oder tragen müsse (S. 3 Ziff. 3).</w:t>
      </w:r>
    </w:p>
    <w:p>
      <w:r>
        <w:t>Er nannte folgende Diagnose: Status nach Sturz in einen Liftschacht am 13. Feb ruar 2012 mit offener Ellbogenluxation links un d Reposition, Débridement , Refi xation des ulnaren Kapselbandapparates; bei Sulcus ulnaris-Syndrom Dekom pression und submuskulärer Vorverlage rung des N. ulnaris am 28. Juni 2012 (S. 5 unten).</w:t>
      </w:r>
    </w:p>
    <w:p>
      <w:r>
        <w:t>Subjektiv persistierten Kraftlosigkeit, Müdigkeit, Ameisenlaufen, Taubheitsgefühl und Schmerzen im Ellbogenbereich, ausserdem ein starkes Zittern. Objektiv fän den sich nur eine geringe muskuläre Hypertrophie der linken oberen Extremität gegenüber rechts, ein leichtes Beuge- und Streckdefizit im linken Ellbogen, kein Anhalt für motorische Ausfälle im Bereich des Nervus ulnaris linksseitig, ein star ker grobschlächtiger Intentionstremor mit Scharren des linken Fusses und eine verminderte Kraftausübung linksseitig (S. 6 oben).</w:t>
      </w:r>
    </w:p>
    <w:p>
      <w:r>
        <w:t>Dem Patienten sei erklärt worden, dass das demonstrierte Beschwerdebild orga nisch auf Grund des Unfalles nicht erklärbar sei. Auch in früheren neurologischen Untersuchungen sei bereits ein Verdacht auf somatoforme Störung geäussert und eine psychologische Betreuung vorgeschlagen worden. Eine psychiatrische Ab klärung sei somit empfehlenswert (S. 6).</w:t>
      </w:r>
    </w:p>
    <w:p>
      <w:r>
        <w:t>Aus somatischer Sicht seien unfallbedingt noch das Beuge- und Streckdefizit im Ellbogen und die Sensibilitätsstörungen im 4. und 5. Finger erklärbar. Die weitere beschriebene Symptomatik sei nicht organisch zu erklären, sondern wahrschein lich im Ra hmen einer somatoformen Störung /Symptomausweitung oder Ähnli chem zu sehen (S. 6 Mitte). 4.2</w:t>
      </w:r>
    </w:p>
    <w:p>
      <w:r>
        <w:t>In einer ergänzenden Stellungnahme vom 22. Dezember 2014 (Urk. 5/32/88-90) führte Dr. Y.___ aus, aus rein somatischer Sicht sei eine körperlich leichte bis mittelschwere Tätigkeit ausnahmsweise auch mit mittelschweren Lasten, ohne Dauerbelastung der linken oberen Extremität durch permanentes Heben und Tra gen von Lasten, möglich. Keine Einschränkungen bestünden in Bezug auf die Umwendbewegungen . Schläge und andauernde Vibrationen auf die linke obere Extremität und ruckartige starke Stoss- oder Zugbewegungen sollten vermieden werden. Unter Beachtung der genannten Einschränkungen bestehe eine 100%ige Arbeitsfähigkeit in Bezug auf die somatisch erklärbaren Symptome (S. 2 Ziff. 2). 4.3</w:t>
      </w:r>
    </w:p>
    <w:p>
      <w:r>
        <w:t>Dr. med.</w:t>
      </w:r>
    </w:p>
    <w:p>
      <w:r>
        <w:t>Z.___ , Facharzt für Neurologie, berichtete am 6. März 2015 über seine am Vortag erfolgte Untersuchung (Urk. 5/32/17-20). Er nannte folgende Diagnose: Posttraumatische, vorwiegend sensible Ulnarisparese links, bei Sta tus nach Ellbogenluxation am 13. Februar 2012 und Status nach Dekompression des N. ulnaris im Ellbogenbereich mit submuskulärer Vorverlagerung des N. ul naris (S. 1 Mitte).</w:t>
      </w:r>
    </w:p>
    <w:p>
      <w:r>
        <w:t>Die erlittene offene Ellbogenluxation links hinterlasse eine vorwiegend sensible Parese des N. ulnaris links aufgrund einer Druckschädigung im Sulcusbereich . Klinisch bestehe eine sensible Parese dieses Nervs, mit Hypästhesie an Handkante, Kleinfinger und Ulnarseite des Ringfingers links, wahrscheinlich bestehe auch eine leichte Spreizschwäche, wegen der Krallenhand sei dies nicht ausreichend beurteilbar. Im Elektromyogramm (EMG) sei die Leitgeschwindigkeit des N. ulna ris im Sulcusbereich verlangsamt, mit zusätzlich verkleinertem Summenpotential. Damit sei die Schädigung des N. ulnaris in diesem Abschnitt ausreichend doku mentiert (S. 2 unten). In den übrigen sensiblen Territorien der linken Hand, haupt sächlich im Versorgungsgebiet des N. medianus, würden ebenfalls Gefühlsstörun gen angegeben, jedoch weniger deutlich als im ulnaren Versorgungsgebiet. Eine Schädigung am N. medianus lasse sich neurog raphisch nicht nachweisen (S. 3 oben).</w:t>
      </w:r>
    </w:p>
    <w:p>
      <w:r>
        <w:t>Die Krallenhand lasse sich organisch nicht erklären und entspreche einer funkti onellen Störung. Die Prognose einer solchen Krallenhand sei immer schwierig, gelegentlich löse sie sich im Verlaufe der Zeit, könne sich aber auch fixieren. Um Kontrakturen vorzubeugen, seien tägliche Dehnungs- und Streckübungen mit den Fingern der linken Hand zu empfehlen. Der Patient beklagte auch anhaltende Kopfschmerzen, es handle sich am ehesten um Spannungskopfschmerzen, das deswegen abgeleitete Elektroenzephalogramm (EEG) sei unauffällig</w:t>
      </w:r>
    </w:p>
    <w:p>
      <w:r>
        <w:t>(S. 3). 4.4</w:t>
      </w:r>
    </w:p>
    <w:p>
      <w:r>
        <w:t>Die Ärzte des A.___ nannten mit Bericht vom 2 3. Juni 2015 über die gleichentags erfolgte Erstuntersuchung (Urk.</w:t>
      </w:r>
    </w:p>
    <w:p>
      <w:r>
        <w:t>5/144/14-15) die fol genden, hier verkürzt angeführten Diagnosen (S. 1): - eindeutiger Morbus Menière rechts - Status nach Otitis externa</w:t>
      </w:r>
    </w:p>
    <w:p>
      <w:r>
        <w:t>diffusa beidseits</w:t>
      </w:r>
    </w:p>
    <w:p>
      <w:r>
        <w:t>Es sei in Abhängigkeit des Spontanverlaufs eine allfällige Behandlung in Aussicht genommen worden (S. 2 unten). 4.5</w:t>
      </w:r>
    </w:p>
    <w:p>
      <w:r>
        <w:t>Med. pract. B.___ , Praktischer Arzt, führte mit Bericht vom 24. De zember 2018 ( Urk. 5/144/1-6) aus, er habe den Beschwerdeführer am 7. Novem ber 2014, 2 6. Juli 2015, 2 5. Oktober 2016 und 3. September 2018 behandelt ( Ziff. 1.2) , und attestierte (ohne zeitliche Eingrenzung) eine Arbeitsunfähigkeit von 50 % ( Ziff. 1.3) . Betreffend Diagnosen mit Auswirkung auf die Arbeitsfähig keit ( Ziff. 2.5) und Prognose zur Arbeitsfähigkeit ( Ziff. 2.7) führte er aus «unverändert». 4.6</w:t>
      </w:r>
    </w:p>
    <w:p>
      <w:r>
        <w:t>Am 9. Juli 2019 e rstatteten die Ärzte des C.___ ein polydisziplinäres Gutachten im Auftrag der Beschwerdegegnerin ( Urk. 5/162). Sie stützten sich auf die ihnen überlassenen Akten ( Urk. 5/164) und die in den Disziplinen Neurologie, Psychiatrie, Allgemeine Innere Medizin, Orthopädie und Neuropsychologie erstatteten Teilgutachten ( Urk. 5/157-161).</w:t>
      </w:r>
    </w:p>
    <w:p>
      <w:r>
        <w:t>Im Gutachten wurden folgende Diagnosen mit Auswirkung auf die Arbeitsfähig keit genannt (S. 10 Ziff. 4.2): Status nach offener Ellbogenluxationsfraktur links ( adominant ) am 1 3. Feb ruar 2012 - posttraumatische Ulnaris-Neuropathie links im Sulcus - Status nach Dekompression und submuskulärer Vorverlagerung des N. Ulnaris links am 2 8. Juni 2012 - postoperativ sukzessive Normalisierung der elektroneurografischen Parameter des N. Ulnaris - aktuell klinisch und elektroneurografisch kein Nachweis einer Ulnaris-Neuropathie - persistierendes Schmerzsyndrom und diffus ausgedehnte sensomotori sche Beschwerden, das Territorium des N. Ulnaris deutlich überschrei tend - residuelle neuropathische Schmerzkomponente möglich - klinisch ke ine Anhaltspunkte für M. Sudeck / CRPS ( complex regional pain syndrome) - Verdacht auf massgebliche funktionelle Überlagerung</w:t>
      </w:r>
    </w:p>
    <w:p>
      <w:r>
        <w:t>Zur Arbeitsfähigkeit in der bisherigen Tätigkeit (S. 12 ff. Ziff. 4.7) wurde ausge führt, der Explorand habe seit 1987 stets als Decken- und Fenstermonteur gear beitet, dies bis zum Unfallzeitpunkt vom 1 3. Februar 2012 in einem Pensum von 100 % . Ab 5. November 2012 habe er die angestammte Tätigkeit mit reduziertem Belastungspensum zu 50 %</w:t>
      </w:r>
    </w:p>
    <w:p>
      <w:r>
        <w:t>wieder aufnehmen können. Eine Minderbelastbarkeit der linken oberen Extremität für körperlich schwere Verrichtungen sei plausibel. Die nun mit adaptiertem Belastungsprofil am angestammten Arbeitsplatz verrich tete Tätigkeit sei aus neurologischer Sicht vollschichtig zumutbar (S. 12 unten). Beschwerdebedingt könne ab dem Zeitpunkt der wiederaufgenommenen Tätigkeit ( 5. November 2012) eine Leistungseinschränkung von 20 % attestiert werden ( S.</w:t>
      </w:r>
    </w:p>
    <w:p>
      <w:r>
        <w:rPr>
          <w:b/>
        </w:rPr>
        <w:t>E. 3</w:t>
      </w:r>
    </w:p>
    <w:p>
      <w:r>
        <w:t>Die Suva sprach dem Versicherten mit Einspracheentscheid vom 3. Juli 2015 (Urk. 5/54) eine Rente entsprechend einem Invaliditätsgrad von 23 % ab 1. Mai 2015 zu (S. 2 lit. B). Dabei ging sie von einer Arbeitsfähigkeit von 100 % in - näher umschriebenen - angepassten Tätigkeiten aus (S. 4 f. Ziff. 1c).</w:t>
      </w:r>
    </w:p>
    <w:p>
      <w:r>
        <w:t>Die g egen den Einspracheentscheid erhobene Beschwerde wurde am 1 7. Februar 2020 zurückgezogen, worauf d as entsprechende Verfahren Nr. UV.2015.00156</w:t>
      </w:r>
    </w:p>
    <w:p>
      <w:r>
        <w:t>am 1 8. Februar 2020 als durch Rückzug erledigt abgeschrieben wurde .</w:t>
      </w:r>
    </w:p>
    <w:p>
      <w:r>
        <w:t>Das Gericht zieht in Erwägung: 1.</w:t>
      </w:r>
    </w:p>
    <w:p>
      <w:r>
        <w:rPr>
          <w:b/>
        </w:rPr>
        <w:t>E. 7</w:t>
      </w:r>
    </w:p>
    <w:p>
      <w:r>
        <w:t>f. Ziff. 13 ff.) . So fehle unter anderem eine Auseinandersetzung mit dem 2016 erstatteten Gutachten, auch wenn im Urteil vom 3 0. Mai 2018 dessen Ungenügen festgestellt worden sei (S. 7 Ziff. 15) . Für das Valideneinkommen sei der von der Suva eingesetzte Betrag zu verwenden (S. 8 Ziff. 19), das Invalideneinkommen sei gestützt auf Löhne gemäss Gesamtarbeitsverträgen (GAV) festzusetzen (S. 9 Ziff. 22), und es sei ein erhöhter Pausenbedarf von 20 % sowie ein Leidensabzug von 15 % zu berücksichtigen (S.</w:t>
      </w:r>
    </w:p>
    <w:p>
      <w:r>
        <w:rPr>
          <w:b/>
        </w:rPr>
        <w:t>E. 9</w:t>
      </w:r>
    </w:p>
    <w:p>
      <w:r>
        <w:t>f. Ziff. 23).</w:t>
      </w:r>
    </w:p>
    <w:p>
      <w:r>
        <w:rPr>
          <w:b/>
        </w:rPr>
        <w:t>E. 12</w:t>
      </w:r>
    </w:p>
    <w:p>
      <w:r>
        <w:t>f).</w:t>
      </w:r>
    </w:p>
    <w:p>
      <w:r>
        <w:t>Aus orthopädischer Sicht müsse aufgrund der Begutachtung festgestellt werden, dass die subjektiven Beschwerden eindeutig im Vordergrund stünden und ortho pädischerseits so nicht klar einem klaren pathomorphologischen Korrelat zuge führt werden könnten. Es dürfe angenommen werden, dass nach einer Ellbogen luxationsfraktur links die entsprechende Extremität in der Belastbarkeit etwas eingeschränkt bleiben könne, das ständige Heben und Tragen von schweren Lasten über 10 bis 15 Kilogramm, ständige Überkopftätigkeiten, Tätigkeiten in absturzgefährdeter Position (wie Leitern, Gerüste etc.) seien wohl dauerhaft nicht mehr sinnvoll (S. 13).</w:t>
      </w:r>
    </w:p>
    <w:p>
      <w:r>
        <w:t>Adaptierte leichte und mittelschwere Tätigkeiten sollten dem Versicherten jedoch aus orthopädischer Sicht medizinisch-theoretisch spätestens seit der Wiederauf nahme der Arbeit am 5. November 2012 wieder zu 80 % zumutbar gewesen sein, 20 % dienten dem schmerzbedingt vermehrten Pausenbedarf (S. 13 Mitte).</w:t>
      </w:r>
    </w:p>
    <w:p>
      <w:r>
        <w:t>Aus psychiatrischer Sicht sei der Explorand aktuell und aufgrund der Aktenlage</w:t>
      </w:r>
    </w:p>
    <w:p>
      <w:r>
        <w:t>auch in der Vergangenheit durchgängig zu 100 % als arbeitsfähig zu beurteilen. Im neuropsychologischen Bereich besteh e keine Einschränkung der Arbeitsfähig keit als Deckenmonteur (S. 13 unten).</w:t>
      </w:r>
    </w:p>
    <w:p>
      <w:r>
        <w:t>Die seit dem 5. November 2012 ausgeführte Tätigkeit könne als adaptiert ange sehen werden und könne dem Versicherten mit einer maximalen Einschränkung von 20 % bezogen auf ein vollschichtiges Arbe itsvolumen zugemutet werden (S.</w:t>
      </w:r>
    </w:p>
    <w:p>
      <w:r>
        <w:rPr>
          <w:b/>
        </w:rPr>
        <w:t>E. 14</w:t>
      </w:r>
    </w:p>
    <w:p>
      <w:r>
        <w:t>% ergibt.</w:t>
      </w:r>
    </w:p>
    <w:p>
      <w:r>
        <w:t>Demnach ist die Verfügung, mit welcher die Beschwerdegegnerin einen Renten anspruch verneint hat, nicht zu beanstanden, und die dagegen erhobene Beschwerde ist abzuweisen. 6.</w:t>
      </w:r>
    </w:p>
    <w:p>
      <w:r>
        <w:t>Die Verfahrenskosten gemäss Art. 69 Abs. 1 bis (IVG) sind ermessensweise auf Fr. 800.-- festzusetzen und ausgangsgemäss dem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Rechtsanwalt George Hunziker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