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IV.2020.00320 vom 7. November 2020</w:t>
      </w:r>
    </w:p>
    <w:p>
      <w:r>
        <w:t>ZH Sozialversicherungsgericht, 2020-11-07, DE</w:t>
      </w:r>
    </w:p>
    <w:p>
      <w:r>
        <w:rPr>
          <w:b/>
        </w:rPr>
        <w:t xml:space="preserve">Quelle: </w:t>
      </w:r>
      <w:r>
        <w:t>https://mcp.opencaselaw.ch/entscheid/zh_sozialversicherungsgericht_IV.2020.00320</w:t>
      </w:r>
    </w:p>
    <w:p>
      <w:r>
        <w:t>FR: ZH_SOZIALVERSICHERUNGSGERICHT IV.2020.00320 du 7 novembre 2020</w:t>
      </w:r>
    </w:p>
    <w:p>
      <w:r>
        <w:t>IT: ZH_SOZIALVERSICHERUNGSGERICHT IV.2020.00320 del 7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1980 , verheiratet und Mutter von zwei Kindern (geb. 2001 und 2009 ) , hat</w:t>
      </w:r>
    </w:p>
    <w:p>
      <w:r>
        <w:t>den Beruf der Pflegeassistentin SRK erlernt ( Urk. 7/2) . Zuletzt arbeitete sie seit dem Jahr 2000 als Pflegeassistentin in einem Umfang von 70</w:t>
      </w:r>
    </w:p>
    <w:p>
      <w:r>
        <w:t>% im Pflegezentrum Z.___ . Am</w:t>
      </w:r>
    </w:p>
    <w:p>
      <w:r>
        <w:rPr>
          <w:b/>
        </w:rPr>
        <w:t>E. 2</w:t>
      </w:r>
    </w:p>
    <w:p>
      <w:r>
        <w:t>0. Mai 2015 erfolgte im Spital B.___</w:t>
      </w:r>
    </w:p>
    <w:p>
      <w:r>
        <w:t>die Entfernung des Osteosynthesematerials ( Urk. 7/12 S. 9) . Unter Hinweis auf d en Unterarmbruch links und eine noch immer bestehende Einschränkung in der Beweglichkeit meldete sich die Versicherte mit Gesuch vom 1 8. Juli 2015 (Eingang IV-Stelle : 3. August 2015) erstmals bei der Sozialversicherungsanstalt des Kantons Zürich, IV-Stelle, zum Leistungsbezug an ( Urk. 7/3). Diese zog die A k ten des zuständigen Unfallversicherers Zürich Versicherung bei ( Urk. 7/12).</w:t>
      </w:r>
    </w:p>
    <w:p>
      <w:r>
        <w:t>Per Anfang 2016 nahm die Versicherte ihre Tätig keit</w:t>
      </w:r>
    </w:p>
    <w:p>
      <w:r>
        <w:t>im Pflegezentrum Z.___</w:t>
      </w:r>
    </w:p>
    <w:p>
      <w:r>
        <w:t>wieder im a n gestammten Pensum auf ( in ange passter Form ;</w:t>
      </w:r>
    </w:p>
    <w:p>
      <w:r>
        <w:t>vgl. Urk. 7/16-17) , worauf</w:t>
      </w:r>
    </w:p>
    <w:p>
      <w:r>
        <w:t>die IV-Stelle am 7. Juni 2016 eine Verfügung</w:t>
      </w:r>
    </w:p>
    <w:p>
      <w:r>
        <w:t>erliess , mit welcher sie unter Hinweis darauf, dass die Versicherte vor Ablauf von sechs Monaten seit der Anmeldung wieder die volle Arbeitsfähigkeit erlangt habe, einen Anspruch auf IV-Leistungen (Berufliche Massnahmen/Rente) verneinte ( Urk. 7/27).</w:t>
      </w:r>
    </w:p>
    <w:p>
      <w:r>
        <w:t>Mit Gesuch vom 1 3. September 2016 meldete sich die Versicherte</w:t>
      </w:r>
    </w:p>
    <w:p>
      <w:r>
        <w:t>unter Hinweis darauf, dass es ihr nach wie vor nicht möglich sei , ihren ursprünglichen Aufgaben bereich zu bewältigen ( Urk. 7/34) ,</w:t>
      </w:r>
    </w:p>
    <w:p>
      <w:r>
        <w:t>sowie Beschwerden am linken Hand gelenk</w:t>
      </w:r>
    </w:p>
    <w:p>
      <w:r>
        <w:t>und</w:t>
      </w:r>
    </w:p>
    <w:p>
      <w:r>
        <w:t>eine teilweise Krankschreibung durch den Hausarzt ,</w:t>
      </w:r>
    </w:p>
    <w:p>
      <w:r>
        <w:t>erneut bei der IV-Stelle zum Leistungsbezug an ( Urk. 7/37). Die IV-Stelle gewährte der Versicherten mit Mitteilung vom 1 5. Februar 2017 Beratung und Unterstützung beim Erhalt des derzeitigen Arbeitsplatzes ( Urk. 7/47) , welche Massnahme sie mit Mitteilung vom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