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IV.2020.00312 vom 1. März 2021</w:t>
      </w:r>
    </w:p>
    <w:p>
      <w:r>
        <w:t>ZH Sozialversicherungsgericht, 2021-03-01, DE</w:t>
      </w:r>
    </w:p>
    <w:p>
      <w:r>
        <w:rPr>
          <w:b/>
        </w:rPr>
        <w:t xml:space="preserve">Quelle: </w:t>
      </w:r>
      <w:r>
        <w:t>https://mcp.opencaselaw.ch/entscheid/zh_sozialversicherungsgericht_IV.2020.00312</w:t>
      </w:r>
    </w:p>
    <w:p>
      <w:r>
        <w:t>FR: ZH_SOZIALVERSICHERUNGSGERICHT IV.2020.00312 du 1 mars 2021</w:t>
      </w:r>
    </w:p>
    <w:p>
      <w:r>
        <w:t>IT: ZH_SOZIALVERSICHERUNGSGERICHT IV.2020.00312 del 1 marzo 2021</w:t>
      </w:r>
    </w:p>
    <w:p>
      <w:pPr>
        <w:pStyle w:val="Heading2"/>
      </w:pPr>
      <w:r>
        <w:t>Erwägungen</w:t>
      </w:r>
    </w:p>
    <w:p>
      <w:r>
        <w:rPr>
          <w:b/>
        </w:rPr>
        <w:t>E. 1.1</w:t>
      </w:r>
    </w:p>
    <w:p>
      <w:r>
        <w:t>2015 176’088 62'506 113’582 64.</w:t>
      </w:r>
    </w:p>
    <w:p>
      <w:r>
        <w:rPr>
          <w:b/>
        </w:rPr>
        <w:t>E. 1.2</w:t>
      </w:r>
    </w:p>
    <w:p>
      <w:r>
        <w:t>Bei erwerbstätigen Versicherten ist der Invaliditätsgrad gemäss Art. 16 des Bun desgesetzes über den Allgemeinen Teil des Sozialversicherungsrechts ( ATSG )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Der Einkommens 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 vergleichs; BGE 130 V 343 E. 3.4.2 , 128 V 29 E. 1 ).</w:t>
      </w:r>
    </w:p>
    <w:p>
      <w:r>
        <w:rPr>
          <w:b/>
        </w:rPr>
        <w:t>E. 1.3</w:t>
      </w:r>
    </w:p>
    <w:p>
      <w:r>
        <w:t>Nach Einholung der Buchhaltungsabschlüsse (Urk. 7/124) und einer Erhebung der beruflichen Einschränkungen vor Ort (Abklärungsbericht vom 5. Juli</w:t>
      </w:r>
    </w:p>
    <w:p>
      <w:r>
        <w:t>2019, Urk. 7/129) stellte die IV-Stelle dem Versicherten mit Vorbescheid vom 23. August 2019 gestützt auf einen Invaliditätsgrad von 40 % eine Viertelsrente ab September</w:t>
      </w:r>
    </w:p>
    <w:p>
      <w:r>
        <w:t>2014 in Aussicht (Urk. 7/132), wogegen der Versicherte am 23. September</w:t>
      </w:r>
    </w:p>
    <w:p>
      <w:r>
        <w:t>2019 (Urk. 7/136) und 25. Oktober</w:t>
      </w:r>
    </w:p>
    <w:p>
      <w:r>
        <w:t>2019 (Urk. 7/140) Einwände erhob. Mit Verfügung vom 8. April 2020 hielt die IV-Stelle an ihrem Vorbescheid fest und sprach dem Versicherten mit Wirkung ab September 2014 eine Viertels rente zu (Urk. 7/158 in Verbindung mit Urk. 7/144 = Urk. 2 ).</w:t>
      </w:r>
    </w:p>
    <w:p>
      <w:r>
        <w:rPr>
          <w:b/>
        </w:rPr>
        <w:t>E. 2</w:t>
      </w:r>
    </w:p>
    <w:p>
      <w:r>
        <w:t>Der Versicherte erhob am 14. Mai 2020 Beschwerde gegen die Verfügung vom 8. April 2020 (Urk. 2) und beantragte deren Aufhebung sowie die Ausrichtung einer unbefristeten ganzen Rente ab September</w:t>
      </w:r>
    </w:p>
    <w:p>
      <w:r>
        <w:t>2014, eventuell die Ausrichtung einer halben Rente ab September</w:t>
      </w:r>
    </w:p>
    <w:p>
      <w:r>
        <w:t>2014 (Urk. 1). Mit Beschwerdeantwort vom 25. Juni 2020, welche dem Beschwerdeführer am 3. Juli 2020 zur Kenntnis ge bracht wurde (Urk. 8), schloss die IV-Stelle auf Abweisung der Beschwerde (Urk. 6).</w:t>
      </w:r>
    </w:p>
    <w:p>
      <w:r>
        <w:t>Mit Beschluss vom 10. August 2020 zog das Gericht eine reformatio in peius in Erwägung und gab dem Beschwerdeführer Gelegenheit, sich hierzu zu äussern oder die Beschwerde zurückzuziehen (Urk. 9). Mit Verfügung vom 9. September 2020 zog das Gericht antragsgemäss (vgl. Urk. 11) die Krankentaggeld abrech nun gen betreffend den Beschwerdeführer (Urk. 16/1-2) bei (Urk. 13). Die Beschwer de gegnerin verzichtete am 29. Oktober</w:t>
      </w:r>
    </w:p>
    <w:p>
      <w:r>
        <w:t>2020 auf Stellungnahme hierzu (Urk. 21), während sich der Beschwerdeführer am 1. Februar 2021 hierzu äusserte (Urk. 24). Darüber wurden die Parteien am 4. Februar</w:t>
      </w:r>
    </w:p>
    <w:p>
      <w:r>
        <w:t>2021 gegenseitig in Kenntnis gesetzt (Urk. 25). Das Gericht zieht in Erwägung: 1.</w:t>
      </w:r>
    </w:p>
    <w:p>
      <w:r>
        <w:rPr>
          <w:b/>
        </w:rPr>
        <w:t>E. 2.1</w:t>
      </w:r>
    </w:p>
    <w:p>
      <w:r>
        <w:t>Mit Urteil vom 29. Januar 2019 (Urk. 7/109) kam das Gericht zum Schluss, dass das Z.___ -Gutachten vom 22. Dezember 2016 (Urk. 7/77) in Beachtung der mass gebenden normativen Rahmenbedingungen erstattet worden sei und insbe son dere die Feststellungen zur Arbeitsfähigkeit im Gutachten anhand der rechts er heblichen Indikatoren erfolgt seien. Demnach sei auf die Feststellungen im Gutach ten hinsichtlich der Arbeitsfähigkeit abzustellen, womit der Sach ver halt da hin gehend erstellt sei, dass für angepasste Tätigkeiten, welche dem im Gut achten formulierten Belastungsprofil entsprächen, eine Arbeitsfähigkeit von 60 % be stehe ( E. 5.3).</w:t>
      </w:r>
    </w:p>
    <w:p>
      <w:r>
        <w:rPr>
          <w:b/>
        </w:rPr>
        <w:t>E. 2.2</w:t>
      </w:r>
    </w:p>
    <w:p>
      <w:r>
        <w:t>Die Beschwerdegegnerin begründete die angefochtene Verfügung (Urk. 2 Begrün dungsteil) damit, die Abklärungen im Betrieb des Beschwerdeführers hätten er geben, dass er ohne Gesundheitsschaden ein Einkommen (Validen einkommen) von Fr. 187'338.55 erzielen könnte. Aus medizinischer Sicht sei es ihm möglich, ein Einkommen (Invalideneinkommen) von Fr. 111'789. — zu</w:t>
      </w:r>
    </w:p>
    <w:p>
      <w:r>
        <w:t>erwirt schaften. Aus dem Vergleich der beiden Einkommen resultiere eine Einbusse von Fr. 75'549.55 was einem Invaliditätsgrad von 40 % entspreche (S. 1</w:t>
      </w:r>
    </w:p>
    <w:p>
      <w:r>
        <w:t>Mitte).</w:t>
      </w:r>
    </w:p>
    <w:p>
      <w:r>
        <w:t>Der Beschwerdeführer arbeite nicht mehr in seiner Firma. Er habe im Rahmen seiner gesundheitsbedingten Arbeitsunfähigkeit Streit mit seinem Geschäfts part ner gehabt, was dazu geführt habe, dass er seine Anteile an der Firma anfangs 2018 verkauft habe. Somit könne dav on ausgegangen werden, dass er die Firma unter anderem aufgrund seiner gesundheitlichen Situation verkauft habe. Die ge sundheitlichen Einschränkungen bestünden seit 2012, er habe die Firma aber erst 6 Jahre später verkauft, weshalb daran festzuhalten sei, dass er heute ohne ge sundheitliche Einschränkungen weiterhin als Selbständigerwerbender tätig wäre (S. 1 unten).</w:t>
      </w:r>
    </w:p>
    <w:p>
      <w:r>
        <w:rPr>
          <w:b/>
        </w:rPr>
        <w:t>E. 2.3</w:t>
      </w:r>
    </w:p>
    <w:p>
      <w:r>
        <w:t>Dagegen wandte der Beschwerdeführer im Wesentlichen ein (Urk. 1), er habe seine Anteile an der Firma zwar erst 2018 verkauft, sein Rückzug aus der Firma habe aber bereits Jahre zuvor stattgefunden. Er habe seine Aufgabe als Geschäfts führer etappenweise eingestellt beziehungsweise diese seinen gesund heit lichen Beschwerden angepasst. Aber auch mit den Anpassungen habe er seine Arbeits leistung nicht mehr erbringen können, weshalb sein Arbeitspensum zuletzt bis auf 40 % reduziert worden sei. Dies habe zu Spannungen mit dem Geschäfts partner geführt. Nachdem er auch das Pensum von 40 % nicht mehr habe errei chen können, habe er seine Anteile an der Firma Anfang 2018 verkauft und sich beim Regionalen Arbeitsvermittlungszentrum (RAV) angemeldet. Eine Stelle in einem 40%igen Teilzeitpensum habe er im Rahmen seines Leistungsprofils nicht finden können (S. 6 f. Ziff. 19).</w:t>
      </w:r>
    </w:p>
    <w:p>
      <w:r>
        <w:t>Das Gericht habe die Arbeitsfähigkeit in einer angepassten Tätigkeit mit 60 % bestätigt. Da er zuletzt beim RAV gemeldet gewesen sei, sei das Invaliden ein kom men praxisgemäss aufgrund der LSE-Tabelle festzulegen (S. 7</w:t>
      </w:r>
    </w:p>
    <w:p>
      <w:r>
        <w:t>Ziff. 20).</w:t>
      </w:r>
    </w:p>
    <w:p>
      <w:r>
        <w:t>Die Tätigkeit in der eigenen Firma sei nicht eine leidensangepasste Tätigkeit. Zu dem wäre dort gemäss Z.___ -Gutachten von einer 50%igen Arbeitsunfähigkeit auszugehen (S. 7 Ziff. 21).</w:t>
      </w:r>
    </w:p>
    <w:p>
      <w:r>
        <w:rPr>
          <w:b/>
        </w:rPr>
        <w:t>E. 4</w:t>
      </w:r>
    </w:p>
    <w:p>
      <w:r>
        <w:t>Gegen die in Aussicht gestellte reformatio in peius (vgl. Urk. 9) führte der Be schwerdeführer aus (Urk. 11), es seien bis zum 21. September 2015 Kranken tag gelder ausbezahlt worden und der ausbezahlte Grundlohn und Bonusanteil habe nicht der Leistung entsprochen und sei demnach sozial motiviert gewesen (Urk. 11 S. 2 Ziff. 1).</w:t>
      </w:r>
    </w:p>
    <w:p>
      <w:r>
        <w:t>Die vom 30. September</w:t>
      </w:r>
    </w:p>
    <w:p>
      <w:r>
        <w:t>2013 bis 21. September</w:t>
      </w:r>
    </w:p>
    <w:p>
      <w:r>
        <w:t>2015 bezo genen und in seinem Lohn enthaltenen Krankentaggelder seien vom Invaliden einkommen abzuziehen (Urk. 24 S. 2 Ziff. 1). 2.</w:t>
      </w:r>
    </w:p>
    <w:p>
      <w:r>
        <w:rPr>
          <w:b/>
        </w:rPr>
        <w:t>E. 4.1</w:t>
      </w:r>
    </w:p>
    <w:p>
      <w:r>
        <w:t>Die Verfahrenskosten gemäss Art. 69 Abs. 1 bis IVG sind ermessensweise auf Fr. 800. festzusetzen und entsprechend dem Ausgang des Verfahrens zu 3/4 der Beschwerdegegnerin und zu 1/4 dem Beschwerdeführer aufzuerlegen.</w:t>
      </w:r>
    </w:p>
    <w:p>
      <w:r>
        <w:rPr>
          <w:b/>
        </w:rPr>
        <w:t>E. 4.2</w:t>
      </w:r>
    </w:p>
    <w:p>
      <w:r>
        <w:t>Der anwaltlich vertretene Beschwerdeführer hat Anspruch auf eine Parteientschä digung. Diese wird ohne Rücksicht auf den Streitwert nach der Bedeutung der Streitsache, der Schwierigkeit des Prozesses und dem Mass des Obsiegens bemes sen (§</w:t>
      </w:r>
    </w:p>
    <w:p>
      <w:r>
        <w:t>34 Abs.</w:t>
      </w:r>
    </w:p>
    <w:p>
      <w:r>
        <w:t>3 GSVGer). Unter Berücksichtigung eines gerichtsüblichen Ansat zes von Fr.</w:t>
      </w:r>
    </w:p>
    <w:p>
      <w:r>
        <w:t>220.</w:t>
      </w:r>
    </w:p>
    <w:p>
      <w:r>
        <w:t>pro Stunde zuzüglich Mehrwertsteuer (MWSt) erscheint eine um 1/4 gekürzte Parteientschädigung von Fr.</w:t>
      </w:r>
    </w:p>
    <w:p>
      <w:r>
        <w:t>1 ’4 00. (inklusive Barauslagen und Mehrwertsteuer) als angemessen. Das Gericht erkennt: 1.</w:t>
      </w:r>
    </w:p>
    <w:p>
      <w:r>
        <w:t>Die Beschwerde wird in dem Sinne teilweise gutgeheissen und die Verfügung der Be schwerdegegnerin vom 8. April 2020 aufgehoben mit der Feststellung, dass der Be schwerdeführer von April 2015 bis März 2016 Anspruch auf eine befristete Dreivier telsrente und ab April 2017 auf eine unbefristete ganze Rente hat. im Übrigen wird die Beschwerde abgewiesen. 2.</w:t>
      </w:r>
    </w:p>
    <w:p>
      <w:r>
        <w:t>Die Gerichtskosten von Fr. 800 .-- werden zu 3/4</w:t>
      </w:r>
    </w:p>
    <w:p>
      <w:r>
        <w:t>der Beschwerdegegnerin</w:t>
      </w:r>
    </w:p>
    <w:p>
      <w:r>
        <w:t>und zu 1/4 dem Beschwerdeführer auferlegt.</w:t>
      </w:r>
    </w:p>
    <w:p>
      <w:r>
        <w:t>Rechnung und Einzahlungsschein werden den Kos tenpflichtigen nach Eintritt der Rechtskraft zugestellt. 3.</w:t>
      </w:r>
    </w:p>
    <w:p>
      <w:r>
        <w:t>Die Beschwerdegegnerin wird verpflichtet, dem Beschwerdeführer eine um 1/4 redu zierte Prozessentschädigung von Fr. 1’400 .-- (inkl. Barauslagen und MWSt) zu bezah len. 4.</w:t>
      </w:r>
    </w:p>
    <w:p>
      <w:r>
        <w:t>Zustellung gegen Empfangsschein an: - Rechtsanwältin Evalotta Samuelsson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MosimannTiefenbacher</w:t>
      </w:r>
    </w:p>
    <w:p>
      <w:r>
        <w:rPr>
          <w:b/>
        </w:rPr>
        <w:t>E. 5</w:t>
      </w:r>
    </w:p>
    <w:p>
      <w:r>
        <w:t>2016 176’088 111’616</w:t>
      </w:r>
    </w:p>
    <w:p>
      <w:r>
        <w:rPr>
          <w:b/>
        </w:rPr>
        <w:t>E. 6</w:t>
      </w:r>
    </w:p>
    <w:p>
      <w:r>
        <w:t>2017 176’088 50’400 125 ’688 71. 4 3.7 3.7.1</w:t>
      </w:r>
    </w:p>
    <w:p>
      <w:r>
        <w:t>Nachdem der Beschwerdeführer seine Anteile der Firma anfangs 2018 veräussert hatte (Urk. 7/129 S. 3 Mitte) , ist ab 2018 von veränderten Verhältnissen auszu gehen. Da der Beschwerdeführer aus gesundheitlichen Gründen nicht mehr voll leistungsfähig war, veräusserte er seine Anteile . Dies ist entgegen der Ansicht der Beschwerdegegnerin (vgl. Urk. 2 S. 9 unten)</w:t>
      </w:r>
    </w:p>
    <w:p>
      <w:r>
        <w:t>als Folge seines Gesund heitsscha dens zu sehen , auch wenn er sich erst Jahre nach Eintritt des Gesund heits scha dens zu diesem Schritt veranlasst fühlte . Im Übrigen spielt es bei der Ermittlung des Invalideneinkommens keine Rolle, welcher Tätigkeit der Be schwer de führer ohne Gesundheitsschaden nachgehen würde, sondern dieses ist anhand der tat sächlichen Verwertung der Restarbeitsfähigkeit oder anhand statis ti scher Löhne festzulegen (vgl. E. 3.5).</w:t>
      </w:r>
    </w:p>
    <w:p>
      <w:r>
        <w:t>Der Beschwerdeführer veräusserte seine Anteile Anfang 2018, arbeitete je doch</w:t>
      </w:r>
    </w:p>
    <w:p>
      <w:r>
        <w:t>bis</w:t>
      </w:r>
    </w:p>
    <w:p>
      <w:r>
        <w:t>zirka Mai/Juni</w:t>
      </w:r>
    </w:p>
    <w:p>
      <w:r>
        <w:t>2018 für das Unternehmen weiter (Urk. 7/129 S. 3) .</w:t>
      </w:r>
    </w:p>
    <w:p>
      <w:r>
        <w:t>Für</w:t>
      </w:r>
    </w:p>
    <w:p>
      <w:r>
        <w:t>das</w:t>
      </w:r>
    </w:p>
    <w:p>
      <w:r>
        <w:t>Jahr</w:t>
      </w:r>
    </w:p>
    <w:p>
      <w:r>
        <w:t>2018</w:t>
      </w:r>
    </w:p>
    <w:p>
      <w:r>
        <w:t>wurde seitens der Arbeitgeberin ein Einkommen von Fr. 21'496. abgerechnet. Da der Beschwerdeführer seine Restarbeitsfähigkeit nicht mehr verwertete, und ab Mai/Juni 2018 arbeitslos war, rechtfertigt es sich , das Invalideneinkommen ab 2018 aufgrund der Tabellenlöhne festzusetzen. 3.7.2</w:t>
      </w:r>
    </w:p>
    <w:p>
      <w:r>
        <w:t>Laut Z.___ -Gutachten (Urk. 7/77/44-70) sind dem Beschwerdeführer einfache Tä tigkeiten ohne Anforderungen an die Kognition zumutbar, wobei Tätigkeiten an gefährlichen Maschinen oder mit gefährlichen Werkzeugen oder Arbeiten, die das berufliche Führen eines Motorfahrzeuges erforderten, sowie unregelmässige Ar beitszeiten, Schichtarbeit und Arbeiten mit ausgeprägten Stosszeiten mit sehr ho hem Arbeitsaufkommen vermieden werden sollten (S. 22 Ziff. 6.7). 3.7.3</w:t>
      </w:r>
    </w:p>
    <w:p>
      <w:r>
        <w:t>Der Beschwerdeführer verfügt über ein Diplom als Gra f iker und jahrelange Erfahrung in Geschäftsführung. Ihm sind seinem Leiden angepasste Tätigkeiten im Kompetenzniveau 2 (praktische Tätigkeiten) zumutbar. Das durchschnittliche Ein kommen für Männer betrug im Jahr 2018 Fr. 5'649.</w:t>
      </w:r>
    </w:p>
    <w:p>
      <w:r>
        <w:t>(LSE 2018 TA1_ tirage -skill-level). Unter Berücksichtigung einer betriebsüblichen wöchentlichen Ar beits zeit von 41.7 Stunden (BSF, Betriebsübliche Arbeitszeit nach Wir t schafts abteilungen ) ergibt dies bei einem Arbeitspensum von 60 %</w:t>
      </w:r>
    </w:p>
    <w:p>
      <w:r>
        <w:t>im Jahr 2018 ein hypothetisches Jahreseinkommen von abgerundet Fr. 42‘401. (Fr. 5‘649. x 12 x 41.7 : 40 x 0.6). Verglichen mit dem Validenein kommen von Fr. 17 6’088 . resultiert eine Erwerbseinbusse von Fr. 133' 68</w:t>
      </w:r>
    </w:p>
    <w:p>
      <w:r>
        <w:rPr>
          <w:b/>
        </w:rPr>
        <w:t>E. 7</w:t>
      </w:r>
    </w:p>
    <w:p>
      <w:r>
        <w:t>beziehungsweise ein Invaliditätsgrad von 75.9 %. 3.8 3.8.1</w:t>
      </w:r>
    </w:p>
    <w:p>
      <w:r>
        <w:t>Gemäss Art. 88a der Verordnung über die Invalidenversicherung (IVV) ist eine Verbesserung der Erwerbsfähigkeit für die Herabsetzung oder Aufhebung der Leistung von dem Zeitpunkt an zu berücksichtigen, in dem angenommen werden kann, dass sie voraussichtlich längere Zeit dauern wird. Sie ist in jedem Fall zu berücksichtigen, nachdem sie ohne wesentliche Unterbrechung drei Monate ge dauert hat und voraussichtlich weiterhin andauern wird (Abs. 1). Eine Ver schlechterung der Erwerbsfähigkeit ist zu berücksichtigen, sobald sie ohne we sentliche Unterbrechung dre i Monate gedauert hat (Abs. 2). 3.8.2</w:t>
      </w:r>
    </w:p>
    <w:p>
      <w:r>
        <w:t>Nach dem Dargelegten hat der Beschwerdeführer Anspruch auf eine Dreiviertels rente von April 2015 bis März 2016 und auf eine ganze Rente ab April 201 7. In diesem Sinne ist die Beschwerde teilweise gutzuheissen.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