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IV.2020.00310 vom 6. März 2021</w:t>
      </w:r>
    </w:p>
    <w:p>
      <w:r>
        <w:t>ZH Sozialversicherungsgericht, 2021-03-06, DE</w:t>
      </w:r>
    </w:p>
    <w:p>
      <w:r>
        <w:rPr>
          <w:b/>
        </w:rPr>
        <w:t xml:space="preserve">Quelle: </w:t>
      </w:r>
      <w:r>
        <w:t>https://mcp.opencaselaw.ch/entscheid/zh_sozialversicherungsgericht_IV.2020.00310</w:t>
      </w:r>
    </w:p>
    <w:p>
      <w:r>
        <w:t>FR: ZH_SOZIALVERSICHERUNGSGERICHT IV.2020.00310 du 6 mars 2021</w:t>
      </w:r>
    </w:p>
    <w:p>
      <w:r>
        <w:t>IT: ZH_SOZIALVERSICHERUNGSGERICHT IV.2020.00310 del 6 marzo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1981 geborene X.___ , unterdessen Vater zweier Kinder (geboren 2010 und 2018),</w:t>
      </w:r>
    </w:p>
    <w:p>
      <w:r>
        <w:t>übte</w:t>
      </w:r>
    </w:p>
    <w:p>
      <w:r>
        <w:t>ohne Berufsausbildung</w:t>
      </w:r>
    </w:p>
    <w:p>
      <w:r>
        <w:t>verschiedene Hilfstätigkeiten aus . Zuletzt arbeitete er seit Oktober 2005 bei der</w:t>
      </w:r>
    </w:p>
    <w:p>
      <w:r>
        <w:t>Y.___ AG</w:t>
      </w:r>
    </w:p>
    <w:p>
      <w:r>
        <w:t>als Hilfsarbeiter auf dem Bau ( Urk. 7/</w:t>
      </w:r>
    </w:p>
    <w:p>
      <w:r>
        <w:rPr>
          <w:b/>
        </w:rPr>
        <w:t>E. 2</w:t>
      </w:r>
    </w:p>
    <w:p>
      <w:r>
        <w:t>8. Januar 2006 erlitt er als Beifahrer einen Autounfall, bei welchem der Personenwagen mit einer</w:t>
      </w:r>
    </w:p>
    <w:p>
      <w:r>
        <w:t>Betonwand</w:t>
      </w:r>
    </w:p>
    <w:p>
      <w:r>
        <w:t>kollidiert e . Die Suva als zuständige Unfallversicherung erbrachte in der Folge die gesetzlichen Leistungen ( Urk. 7/ 6/2 ff. ) . Am 5. April 2007 (Eingangsdatum) meldete sich der Versicherte mit Hinweis auf Kopf-, Bein- und Rückenschmerzen</w:t>
      </w:r>
    </w:p>
    <w:p>
      <w:r>
        <w:t>erstmals bei der Sozialversicherungsanstalt des Kantons Zürich, IV-Stelle, zum Leistungsbezug an ( Urk. 7/2 ).</w:t>
      </w:r>
    </w:p>
    <w:p>
      <w:r>
        <w:t>Zur Abklärung der medizinischen und erwerblichen Verhältnisse zog die IV-Stelle einen Auszug aus dem individuellen Konto (Urk.</w:t>
      </w:r>
    </w:p>
    <w:p>
      <w:r>
        <w:t>7/4) sowie die Akten der Unfallversicherungen bei (Urk.</w:t>
      </w:r>
    </w:p>
    <w:p>
      <w:r>
        <w:t>7/6 -8, Urk. 7/12, Urk. 7/19, Urk. 7/23 und</w:t>
      </w:r>
    </w:p>
    <w:p>
      <w:r>
        <w:t>Urk. 7/ 31-33) und holte einen</w:t>
      </w:r>
    </w:p>
    <w:p>
      <w:r>
        <w:t>Arbeitgeberbericht (Urk.</w:t>
      </w:r>
    </w:p>
    <w:p>
      <w:r>
        <w:t>7/ 9) sowie Berichte der behandelnden Ärzte ein (Urk. 7/25-26). In der Folge liess sie den Versicherten durch Dr. med. Z.___ , Facharzt Psychiatrie und Psychotherapie, b egutachten ( Gutachten vom 2 5. Dezember 2008, Urk. 7/34-36).</w:t>
      </w:r>
    </w:p>
    <w:p>
      <w:r>
        <w:t>Mit Verfügung vom 2 2. Oktober 2009 sprach die IV-Stelle dem Versicherten wie vorbeschieden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