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IV.2020.00255 vom 8. Januar 2021</w:t>
      </w:r>
    </w:p>
    <w:p>
      <w:r>
        <w:t>ZH Sozialversicherungsgericht, 2021-01-08, DE</w:t>
      </w:r>
    </w:p>
    <w:p>
      <w:r>
        <w:rPr>
          <w:b/>
        </w:rPr>
        <w:t xml:space="preserve">Quelle: </w:t>
      </w:r>
      <w:r>
        <w:t>https://mcp.opencaselaw.ch/entscheid/zh_sozialversicherungsgericht_IV.2020.00255</w:t>
      </w:r>
    </w:p>
    <w:p>
      <w:r>
        <w:t>FR: ZH_SOZIALVERSICHERUNGSGERICHT IV.2020.00255 du 8 janvier 2021</w:t>
      </w:r>
    </w:p>
    <w:p>
      <w:r>
        <w:t>IT: ZH_SOZIALVERSICHERUNGSGERICHT IV.2020.00255 del 8 gennaio 2021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1967, war von 1. April 2001 bis 31. August 2008 für sechs Stunden pro Woche als Haushilfe für den Verein Y.___ tätig (Urk. 6/6) . Unter Hinweis auf Handgelenks beschwerden meldete sich die Versi cherte am 29. Januar 2008 bei der Invalidenversicherung zum Leistungsbezug an (Urk. 6/2). Die Sozialversicherungsanstalt des Kantons Zürich, IV-Stelle, klärte die medizinische und erwerbliche Situation ab, und holte bei der MEDAS Z.___ sowie beim Z entrum A.___ polydisziplinäre Gut achten ein, welche am 21. Oktober 2009 (Urk. 6/51) und am 17. Dezember 2013 (Urk. 6/148) erstattet wurden.</w:t>
      </w:r>
    </w:p>
    <w:p>
      <w:r>
        <w:t>Nach durchgeführtem Vorbescheidverfahren (Urk. 6/153-158) verneinte die IV Stelle mit Verfügung vom 19. September 2014 einen Anspruch der Versi cher ten auf Leistungen der Invalidenversicherung (Urk. 6/160).</w:t>
      </w:r>
    </w:p>
    <w:p>
      <w:r>
        <w:t>Die von der Versicherten am 22. Oktober 2014 dagegen erhobene Beschwerde ( Urk. 6/163) wurde vom hiesigen Gericht im Verfahren IV.2014.01099 mit Urteil vom 2. September 2015 (Urk. 6/170) in dem Sinne gutgeheissen, dass die Sache an die Beschwerdegegnerin zu weiteren Abklärungen zurückgewiesen wurde.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