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IV.2020.00155 vom 10. September 2020</w:t>
      </w:r>
    </w:p>
    <w:p>
      <w:r>
        <w:t>ZH Sozialversicherungsgericht, 2020-09-10, DE</w:t>
      </w:r>
    </w:p>
    <w:p>
      <w:r>
        <w:rPr>
          <w:b/>
        </w:rPr>
        <w:t xml:space="preserve">Quelle: </w:t>
      </w:r>
      <w:r>
        <w:t>https://mcp.opencaselaw.ch/entscheid/zh_sozialversicherungsgericht_IV.2020.00155</w:t>
      </w:r>
    </w:p>
    <w:p>
      <w:r>
        <w:t>FR: ZH_SOZIALVERSICHERUNGSGERICHT IV.2020.00155 du 10 septembre 2020</w:t>
      </w:r>
    </w:p>
    <w:p>
      <w:r>
        <w:t>IT: ZH_SOZIALVERSICHERUNGSGERICHT IV.2020.00155 del 10 settembre 2020</w:t>
      </w:r>
    </w:p>
    <w:p>
      <w:pPr>
        <w:pStyle w:val="Heading2"/>
      </w:pPr>
      <w:r>
        <w:t>Erwägungen</w:t>
      </w:r>
    </w:p>
    <w:p>
      <w:r>
        <w:rPr>
          <w:b/>
        </w:rPr>
        <w:t>E. 1</w:t>
      </w:r>
    </w:p>
    <w:p>
      <w:r>
        <w:t>X.___ , geboren 2009, wurde am 2 1. April 2010 durch seine Eltern bei der Inva lidenversicherung zum Leistungsbezug angemeldet und es wurden medizinische Massnahmen beantragt (Urk. 7/1).</w:t>
      </w:r>
    </w:p>
    <w:p>
      <w:r>
        <w:t>Die Sozialversicherungsanstalt des Kantons Zürich, IV-Stelle, holte einen medizinischen Bericht ( Urk. 7/5) ein und leistete mit Mitteilung vom</w:t>
      </w:r>
    </w:p>
    <w:p>
      <w:r>
        <w:rPr>
          <w:b/>
        </w:rPr>
        <w:t>E. 1.1</w:t>
      </w:r>
    </w:p>
    <w:p>
      <w:r>
        <w:t>Versicherte haben bis zum vollendeten 20. Altersjahr Anspruch auf die zur Be handlung von Geburtsgebrechen ( Art.</w:t>
      </w:r>
    </w:p>
    <w:p>
      <w:r>
        <w:rPr>
          <w:b/>
        </w:rPr>
        <w:t>E. 1.2</w:t>
      </w:r>
    </w:p>
    <w:p>
      <w:r>
        <w:t>Versicherte haben gemäss Art. 12 IVG bis zum vollendeten 20. Altersjahr An spruch auf medizinische Massnahmen, die nicht auf die Behandlung des Leidens an sich, sondern unmittelbar auf die Eingliederung ins Erwerbsleben oder in den Aufgabenbereich gerichtet und geeignet sind, die Erwerbsfähigkeit oder die Fähig keit, sich im Aufgabenbereich zu betätigen, dauernd und wesentlich zu ver 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w:t>
      </w:r>
    </w:p>
    <w:p>
      <w:r>
        <w:rPr>
          <w:b/>
        </w:rPr>
        <w:t>E. 1.3</w:t>
      </w:r>
    </w:p>
    <w:p>
      <w:r>
        <w:t>Di e Massnahmen müssen gemäss Art. 2 Abs. 1 Satz 2 Verordnung über die Inva lidenversicherung (IVV) nach bewährter Erkenntnis der medizinischen Wissen schaft angezeigt sein und den Eingliederungserfolg in einfacher und zweck mässiger Weise anstreben.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Die für den Bereich der Kranken pflege entwickelte Definition der Wissenschaftlichkeit findet prinzipiell auch auf die medizinischen Eingliederungsmassnahmen der Invalidenversicherung An we n dung. Eine Vorkehr, die mangels Wissenschaftlichkeit nicht durch die obligato rische Krankenpflegeversicherung zu übernehmen ist, kann grundsätzlich auch nicht als m edizinische Massnahme nach Art. 12 oder 13 IVG zu Lasten der Inva lidenversicherung gehen. Die in diesem Sinn lautende, zum KUVG ergangene Rechtsprechung ist unter der Herrschaft des seit 1. Januar 1996 geltenden Bun desgesetz über die Krankenversicherung (KVG) weiterhin anwendbar. Medizini sche Eingliederungsmassnahmen der Invalidenversicherung (Art. 12 und 13 IVG) sowie Analysen und Arzn eimittel (Art.</w:t>
      </w:r>
    </w:p>
    <w:p>
      <w:r>
        <w:rPr>
          <w:b/>
        </w:rPr>
        <w:t>E. 1.4</w:t>
      </w:r>
    </w:p>
    <w:p>
      <w:r>
        <w:t>Der Leistungsanspruch bei Geburtsgebrechen gemäss Art. 13 IVG besteht - anders als nach der allgemeinen Bestimmung des Art. 12 IVG - unabhängig von der Möglichkeit einer späteren Eingliederung in das Erwerbsleben oder in den Auf gabenbereich (Art. 8 Abs. 2 IVG). Eingliederungszweck ist die Behebung oder Milderung der als Folge eines Geburtsgebrechens eingetretenen Beeinträchtigung (BGE 115 V 202 E. 4e/cc S. 205; SVR 2003 IV Nr. 12 S. 35 E. 1.2, Nr. 16 S. 48 E. 2.3).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verneinte den Anspruch auf Übernahme der Kosten für medizinische Massnahmen betreffend das Geburtsgebrechen Ziff. 462 GgV -An hang mit der Begründung (Urk. 2) , dass für die Anerkennung des Geburtsge brechens Ziffer 462 der Nachweis des Kleinwuchses (die Körperlänge müsse unterhalb des 3. Perzentils der Alterskollektivs liegen) vorausgesetzt werde , was beim Beschwerdeführer nicht der Fall sei . Seine Körperlänge liege zwischen dem 1 0. und 2 5. Perzentil, weshalb die Diagnose eines Kleinwuchses und damit auch eines hypophysären Kleinwuchses zu verneinen sei. Das Somatomedin C IGF sowie IGF-BP 3 seien dreimal bestimmt worden und hätten immer im Norm be reich gelegen. Die maximale Konzentration von STH/HGH im Stimulationstest vom 9. Juli 2019 von 8.4 µg/l sei nicht mit einem hypophysären Wachstums hor monmangel vereinbar. Die Knochenreifung sei zudem nicht verzögert. Der behan delnde Arzt, Dr. A.___ habe Wachstumskurven « Switzerland 1989» verwen det, welche nicht der Empfehlung der Schweizerischen Gesellschaft für Pädiatrie aus dem Jahr 2011 entsprechen würden. Es sei auch fragwürdig , dass er eine Zielgrösse von 182.5cm angebe und bei der Berechnung die diagnosespezifischen Wachstumskurven für Kinder und Jugendliche mit Rubinstein- Taybi -Syndrom nicht verwendet habe. 2.2</w:t>
      </w:r>
    </w:p>
    <w:p>
      <w:r>
        <w:t>Demgegenüber liess der Beschwerdeführer im Wesentlichen vortragen ( Urk. 1), der behandelnde Arzt Dr. A.___ habe verschiedene klinische und bioche mische Daten erhoben und sei zweifelsfrei zum Schluss gekommen, dass der Beschwerdeführer am hypophysären Kleiwuchs leide. Ein Zusammenhang der Wachstumsabflachung mit dem Rubinstein- Taybi -Syndrom sei ausgeschlossen (S. 6 ff.). Dr. A.___ habe per 2 5. Oktober 2019 die Behandlung begonnen und gestützt auf die erste Therapiekontrolle stehe fest, dass sich der SDS im Wachstum und der SDS in der Wachstumsgeschwindigkeit verbess ert hätten, was die Diag nose des hypophysären Kleinwuchses bestätige (S. 10) . Des Weiteren wurde vor ge b racht , die Beschwerdegegnerin habe sich auf interne medizinische Stellung nahmen gestützt, obschon die Ä rzte des Regionalen Ärztlichen Dienste s (RAD) nicht über die nötigen fachmedizinischen Kenntnisse verfügten und die in Deutschland geltenden Richtlinien angewendet hätten</w:t>
      </w:r>
    </w:p>
    <w:p>
      <w:r>
        <w:t>(S. 12 f . , S. 18 f. , S. 20 ). Der Nachweis des Wachstumshormon-Mangels müsse zudem durch verschiedene Tests/Berechnungen erbracht werden. E in bestimmter Test beziehungsweise eine bestimmte Berechnung sweise werde nicht vorausgesetzt . Es gebe auch kein singuläres Kriterium , welches für oder gegen die Diagnose eines hypophysären Kleinwuchses sprechen würde (S. 15). Ziffer 462 der KSME verlange keine Körpergrösse unter dem 3. Perzentil, die Beschwerdegegnerin habe dies offenbar der hier nicht anwendbare n deutschen Leitlinie entnommen, was falsch und will kürlich sei (S. 20) . Zur weiteren Begründung verwies der Beschwerdeführer auf die Berichte und Untersuchungen von Dr. A.___ (S. 19 ff.). Schliesslich habe die Beschwerdegegnerin mehrfach den Anspruch auf rechtliches Gehör verletzt , weshalb der angefochtene Entscheid aufzuheben sei (S. 31 f.). 2.3</w:t>
      </w:r>
    </w:p>
    <w:p>
      <w:r>
        <w:t>Streitig und zu prüfen ist der Anspruch der Versicherten auf medizinische M ass nahmen in Form einer Wachstumshormontherapie. 3.</w:t>
      </w:r>
    </w:p>
    <w:p>
      <w:r>
        <w:t>Die Rüge der Gehörsverletzung ist aufgrund ihrer formellen Natur vorweg zu behandeln (vgl. BGE 118 Ia 18 E. 1a). Der verfassungsmässige Anspruch auf rechtliches Gehör umfasst die Rechte der Parteien auf Teilnahme am Verfahren und auf Einflussnahme auf den Prozess der Entscheidfindung. In diesem Sinne dient das rechtliche Gehör einerseits der Sachaufklärung, anderseits stellt es ein persönlichkeitsbezogenes Mitwirkungsrecht beim Erlass eines Entscheides dar, der in die Rechtsstellung des Einzelnen eingreift. Dazu gehört auch das Recht, an der Erhebung wesentlicher Beweise mitzuwirken oder sich zumindest zum Be weisergebnis zu äussern, wenn dieses geeignet ist, den Entscheid zu beeinflussen (BGE 122 V 157 E. 1a S. 158 mit Hinweisen; Lorenz Kneubühler, Gehörsver let zung und Heilung, in ZBl 99 [1998], S. 116). Grundsätzlich sind auch Ein schät zungen versicherungsinterner Ärzte und (zusätzliche) Stellungnahmen medizini scher Fachpersonen zu bereits erstellten Berichten oder Gutachten den Parteien zur Stellungnahme zu unterbreiten (Entscheid des Bundesgerichtes I 211/06 vom 22. Februar 2007, E. 5.4.2). Verwaltungsbehörden dürfen sich nicht über den ele mentaren Grundsatz des rechtlichen Gehörs hinwegsetzen und darauf vertrauen, dass solche Verfahrensmängel in einem vom durch den Verwaltungsakt Betroffe nen allfällig angehobenen Gerichtsverfahren b ehoben werden (BGE 116 V 187 E .</w:t>
      </w:r>
    </w:p>
    <w:p>
      <w:r>
        <w:t>3c mit Hinweis). Eine Rückweisung zur nachträglichen Einholung einer Stel lungnahme ist indessen nur angezeigt, wenn das betreffende Dokument geeignet ist, die Entscheidfindung zu beeinflussen (BGE 127 I 54 E. 2b S. 56; Kneubühler, a.a.O., S. 114 und 116).</w:t>
      </w:r>
    </w:p>
    <w:p>
      <w:r>
        <w:t>Der angefochtene Entscheid vom 28. Januar 2020 (Urk. 2) stützt sich unter ande rem auf die Stellungnahme von Prof. B.___ (Urk. 7/67). Diese wurde im Rahmen des Vorbescheidverfahrens eingeholt und dem Beschwerdeführer vor Erlass der angefochtenen Verfügung nicht zur Stellungnahme unterbreitet. Zu berücksich tigen ist indes, dass die Einschätzung von Prof. B.___ lediglich eine ausführliche Präzisierung der bereits im Vorbescheid vom 9. Dezember 2019 (Urk. 7/54) darge legten Beurteilung darstellt. Mithin wurden keine neuen Begründungselemente vorgetragen, welche geeignet gewesen wären, die Entscheidfindung zu beein flussen. Eine Rückweisung zur Einholung einer nachträglichen Stellungnahme des Beschwerdeführers erscheint daher nicht angezeigt, insbesondere auch vor dem Hintergrund, dass der Beschwerdeführer Gelegenheit hatte, sich vor einer Beschwerdeinstanz zu äussern, die sowohl den Sachverhalt als auch die Rechts lage frei überprüfen kann.</w:t>
      </w:r>
    </w:p>
    <w:p>
      <w:r>
        <w:rPr>
          <w:b/>
        </w:rPr>
        <w:t>E. 3</w:t>
      </w:r>
    </w:p>
    <w:p>
      <w:r>
        <w:t>GgV ).</w:t>
      </w:r>
    </w:p>
    <w:p>
      <w:r>
        <w:rPr>
          <w:b/>
        </w:rPr>
        <w:t>E. 4</w:t>
      </w:r>
    </w:p>
    <w:p>
      <w:r>
        <w:t>.6</w:t>
      </w:r>
    </w:p>
    <w:p>
      <w:r>
        <w:t>Prof. Dr. med. B.___ , Facharzt für Kinder- und Jugendmedizin vom RAD hielt in seiner Stellungnahme vom 2 4. Januar 2020 zuhanden der Beschwerdegegnerin fest ( Urk. 7/67) , dass die Leistungsansprüche nicht ausgewiesen seien, da gemäss Arztbericht vom 3. September 2019 mit einer Körpergrösse von 130.0 cm kein Kleinwuchs und damit auch kein hypophysärer Kleinwuchs vorgelegen habe. Dr. A.___ habe die Wachstumskurven « Switzerland 1989» verwendet, welche nicht der Empfehlung der Schweizerischen Gesellschaft für Pädiatrie aus dem Jahr 2011 entsprechen würden. Die verwendeten Wachstumskurven würden bei 3 Messwerten mit einer Körpergrösse zwischen dem -1.0 und -2.0 SD-Bereich keinen Kleinwuchs anzeigen. In den 2011 empfohlenen Wachstumskurven liege die Körpergrösse von 130.9 cm zwischen der 10.-2 5. Perzentile und damit nicht im Bereich eines Kleinwuchses, definiert als Körpergrösse &lt; 3. Perc . d er alters- und geschlechtsbezogenen Norm. Fraglich bleibe auch, dass Dr. A.___ eine Zielgrösse des Kindes von 182.5 cm angebe, die er aus der Körpergrösse der Eltern des Kind es berechnet habe. Dies sei im A llgemeinen zwar üblich, dürf t e für Kinder mit Rubinstein- Taybi -Syndrom aber nicht zutreffen, da bei diesen Kindern basale zelluläre Aktivierungen gestört sein könnten, die mit einer Retardierung des Längenwachstums verbunden sein könnten.</w:t>
      </w:r>
    </w:p>
    <w:p>
      <w:r>
        <w:t>Im Jahr 2014 seien diagnose spezi fi sche Wachstumskurven für Kinder und Jugendliche mit Rubinstein- Taybi -Syndrom publiziert worden , welche zumindest vergleichsweise zu allgemeinen Wachs tumskurven zu verwenden seien.</w:t>
      </w:r>
    </w:p>
    <w:p>
      <w:r>
        <w:t>Der Verdacht auf eine hypophysäre Insuffizienz werde durch folgende Befunde nicht gestützt: - IgF1 und IgFBP3 seien in jeweils drei Messungen im No rmalbereich geleg en; von tiefen IgF1-Werten könne im Gegensatz zur Einschätzung von Dr. A.___ nicht ausgegangen werden, da die drei Werte 112.4, 130.1 und 154.5 ng /ml nicht nur knapp, sondern deutlich über dem unteren Referenzwert liegen würden. Als Referenzbereich werde 29-424 ng /ml angegeben. In der Fachliteratur werde die Unter grenze (-2.0 SD) für 10.0-10.9-j ährige Jungen mit 79 ng /ml angegeben. - Das Knochenalter sei nicht vermindert gewesen. - Es seien zwei Stimulationstests mit Arigin durchgeführt worden. Unklar bleibe, warum zweimal mit der gleichen Testsubstanz getestet worden sei. 45 Minuten nach der Ariginabgabe sei ein maximaler HGH-Wert von 8.4 µg/l gemessen worden. Da IgF als wesentlicher Effektor, der in der Peripherie zum Längen wachstum beitrage, nicht pathologisch vermindert sei, würden keine A rgu mente vorliegen, dass die Hypophyse zu wenig Wachstumshormon e zur Anre gung der IgF -Bildung in der Leber sezernieren würde.</w:t>
      </w:r>
    </w:p>
    <w:p>
      <w:r>
        <w:rPr>
          <w:b/>
        </w:rPr>
        <w:t>E. 5</w:t>
      </w:r>
    </w:p>
    <w:p>
      <w:r>
        <w:t>.</w:t>
      </w:r>
    </w:p>
    <w:p>
      <w:r>
        <w:rPr>
          <w:b/>
        </w:rPr>
        <w:t>E. 5.9</w:t>
      </w:r>
    </w:p>
    <w:p>
      <w:r>
        <w:t>Dr. A.___ bestätigte am 3. September 2019 (Urk. 7/50), dass beim Beschwer de führer ohne Behandlung ein massiver Kleinwuchs mit einer Grösse weit unter der 3. Perzentile und unterhalb des familiären Zielgrössenbereichs zu erwarten sei, der die soziale und berufliche Integration massiv gefährde (Ziff. 2.5). Diese Prognose wu rde namentlich von Prof. Dr. B.___ nicht in Frage gestellt (Urk.</w:t>
      </w:r>
    </w:p>
    <w:p>
      <w:r>
        <w:t>7/67). Er hielt hauptsächlich dagegen, die aktuelle Körpergrösse liege in der 10.-25. Perzentile und damit nicht im Bereich eines Kleinwuchses, welcher als Körpergrösse unterhalb der 3. Perzentile definiert sei.</w:t>
      </w:r>
    </w:p>
    <w:p>
      <w:r>
        <w:t>Das Bundesgericht stellt in seiner Praxis zur Beurteilung der Kleinwüchsigkeit im Zusammenhang mit der Gewährung von Leistungen bei Geburtsgebrechen auf die Zielgrösse im Erwachsenenalter ab (Urteil des Bundesgerichts 8C_664/2014 vom 21. Mai 2015 E. 4.2). Im vorliegenden Zusammenhang ist eine Kleinwüchsigkeit im Erwachsenenalter zu erwarten, weshalb eine solche gegeben ist.</w:t>
      </w:r>
    </w:p>
    <w:p>
      <w:r>
        <w:rPr>
          <w:b/>
        </w:rPr>
        <w:t>E. 5.10</w:t>
      </w:r>
    </w:p>
    <w:p>
      <w:r>
        <w:t>Nach dem Gesagten ist der Nachweis für einen Wachstumshormonmangel sowie die Kleinwüchsi gkeit erbracht worden und die Beschwerdegegnerin hat die Kosten für die Wachs tumshormonbehandlung des</w:t>
      </w:r>
    </w:p>
    <w:p>
      <w:r>
        <w:t>Beschwerdeführers zu über nehmen.</w:t>
      </w:r>
    </w:p>
    <w:p>
      <w:r>
        <w:t>In diesem Sinne ist die Beschwerde gutzuheissen und die angefochtene Verfügung aufzuheben.</w:t>
      </w:r>
    </w:p>
    <w:p>
      <w:r>
        <w:t>Bei diesem Ausgang des Verfahrens erübrigen sich Au sführungen zu der vom Beschwerdeführer geltend gemachten Verletzung der Abklärungspflicht sowie zur Verletzung des rechtlichen Gehörs</w:t>
      </w:r>
    </w:p>
    <w:p>
      <w:r>
        <w:t>durch die Beschwerdegegnerin . 6 .</w:t>
      </w:r>
    </w:p>
    <w:p>
      <w:r>
        <w:t>6 .1 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 6 .2 Ausgangsgemäss steht dem anwaltlich vertretenen Beschwerdeführer gestützt auf Art. 61 lit . g ATSG und § 34 Abs. 1 und 3 des Gesetzes über das Sozialversiche rungsgericht ( GSVGer ) eine Prozessentschädigung zu. Die Entschädigung wird vom Gericht nach Ermessen und ohne Rücksicht auf den Streitwert nach der Bedeutung der Streitsache und der Schwierigkeit des Prozesses, dem Zeitaufwand und den Barauslagen festgesetzt (§ 34 Abs. 1 und 3 GSVGer ). Ent sprechend ist ihm eine Prozessentschädigung von Fr. 2’700 .-- (inkl. Barauslagen und MWSt ) auszurichten. Das Gericht erkennt: 1.</w:t>
      </w:r>
    </w:p>
    <w:p>
      <w:r>
        <w:t>In Gutheissung der Beschwerde wird die Verfügung vom 28. Januar 2020 aufgehoben und die Beschwerdegegnerin verpflichtet, die Kosten für medizinische Massnahmen im Rahmen des Geburtsgebrechens Ziffer 462 zu übernehmen.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2’700 .-- (inkl. Barauslagen und MWSt ) zu bezahlen. 4.</w:t>
      </w:r>
    </w:p>
    <w:p>
      <w:r>
        <w:t>Zustellung gegen Empfangsschein an: - Rechtsanwalt Felix Kesselring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8</w:t>
      </w:r>
    </w:p>
    <w:p>
      <w:r>
        <w:t>A nzumerken ist ausserdem , dass s oweit die Durchschnittsgrössen der Bevölke rung respektive die entsprechenden Perzentile heranzuziehen sind, nach der Rechtsprechung</w:t>
      </w:r>
    </w:p>
    <w:p>
      <w:r>
        <w:t>(so zum Beispiel Urteil des Bundesgerichts 9C_403/2009 vom 1 0. November 2009 E. 6.2) nicht auf die Verhältnisse in Bezug auf am Rubinstein- Taybi -Syndrom leidende Kinder abzustellen ist . Dass von einer Wachstums stö rung nur gesprochen werden kann, wenn die Kinder unterhalb der 3. Perzentile in Bezug auf die Wachstumskurve von ebenfalls am Rubinstein- Taybi -Syndrom leidenden Kindern an einer Wachstumsstörung im Sinne der Verordnungsbe stimmung leiden (so sinngemäss die Beschwerdegegnerin, Urk. 2 S. 2 ), wider spricht deren Sinn, Störungen im Wachstum aufgrund des Rubinstein- Taybi -Syndroms soweit als möglich zu therapieren. Allfällige Vergleiche haben sich an den Werten der gesamten Gesellschaft zu orientieren.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