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IV.2020.00098 vom 15. Februar 2021</w:t>
      </w:r>
    </w:p>
    <w:p>
      <w:r>
        <w:t>ZH Sozialversicherungsgericht, 2021-02-15, DE</w:t>
      </w:r>
    </w:p>
    <w:p>
      <w:r>
        <w:rPr>
          <w:b/>
        </w:rPr>
        <w:t xml:space="preserve">Quelle: </w:t>
      </w:r>
      <w:r>
        <w:t>https://mcp.opencaselaw.ch/entscheid/zh_sozialversicherungsgericht_IV.2020.00098</w:t>
      </w:r>
    </w:p>
    <w:p>
      <w:r>
        <w:t>FR: ZH_SOZIALVERSICHERUNGSGERICHT IV.2020.00098 du 15 février 2021</w:t>
      </w:r>
    </w:p>
    <w:p>
      <w:r>
        <w:t>IT: ZH_SOZIALVERSICHERUNGSGERICHT IV.2020.00098 del 15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 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 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 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 , was für die Integration auf dem freien Arbeitsmarkt nutzbar ist .</w:t>
      </w:r>
    </w:p>
    <w:p>
      <w:r>
        <w:t>Unter diese n Umständen ist dem Beschwerdeführer trotz der während mehr als 20 Jahren ausge richteten Rentenleistungen eine Selbsteingliederung zumutbar. 7.</w:t>
      </w:r>
    </w:p>
    <w:p>
      <w:r>
        <w:t>Zusammenfassend erweist sich die angefochtene Verfügung im Ergebnis als rechtens, was zur Abweisung der Beschwerde führt. 8.</w:t>
      </w:r>
    </w:p>
    <w:p>
      <w:r>
        <w:t>Die Kosten des Verfahrens sind auf Fr. 800.-- festzusetzen (Art. 69 Abs. 1 bis IVG)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1.6</w:t>
      </w:r>
    </w:p>
    <w:p>
      <w:r>
        <w:t>Im Rahmen des im Juni 2016 einge leitete n Revisionsverfahrens (Urk. 6/172 ff.) tätigte die IV-Stelle medizinische und erwerbliche Abklärungen und zog die Akten der Suva bei . Nach durchgeführtem Vorbescheidverfahren stellte sie die Rente der Invalidenversicherung mit Verfügung vom 6. Januar 2020 per Ende des der Zustellung der Verfügung folgenden Monats ein (Urk. 6/249 = Urk. 2). 2.</w:t>
      </w:r>
    </w:p>
    <w:p>
      <w:r>
        <w:t>Dagegen erhob d er Versicherte mit Eingabe vom 6. Februar 2020 Beschwerde und beantragte, die angefochtene Verfügung sei aufzuheben und es sei ihm die bis herige Rente weiterhin auszurichten (Urk. 1 S. 2). Mit Beschwerdeantwort vom 18. März 2020 beantragte die Beschwerdegegnerin die Abweisung der Beschwer de (Urk. 5), was dem Beschwerdeführer mit Verfügung vom 23. März 2020 mitgeteilt wurde (Urk. 7). 3.</w:t>
      </w:r>
    </w:p>
    <w:p>
      <w:r>
        <w:t>Auf die Vorbringen der Parteien und die eingereichten Unterlagen ist, soweit für die Entscheidfindung erforderlich, in den n achfolgenden Erwägungen einzuge hen . Das Gericht zieht in Erwägung: 1.</w:t>
      </w:r>
    </w:p>
    <w:p>
      <w:r>
        <w:rPr>
          <w:b/>
        </w:rPr>
        <w:t>E. 6</w:t>
      </w:r>
    </w:p>
    <w:p>
      <w:r>
        <w:t>/ 3/3 ).</w:t>
      </w:r>
    </w:p>
    <w:p>
      <w:r>
        <w:rPr>
          <w:b/>
        </w:rPr>
        <w:t>E. 6.1</w:t>
      </w:r>
    </w:p>
    <w:p>
      <w:r>
        <w:t>Zu prüfen bleibt, ob der Beschwerdeführer aufgrund des langjährigen Renten bezugs seine Arbeitsfähigkeit auf dem Weg der Selbsteingliederung noch ver werten kann.</w:t>
      </w:r>
    </w:p>
    <w:p>
      <w:r>
        <w:rPr>
          <w:b/>
        </w:rPr>
        <w:t>E. 6.2</w:t>
      </w:r>
    </w:p>
    <w:p>
      <w:r>
        <w:t>Der Beschwerdeführer war bei Erlass der rentenaufhebenden Verfügung erst</w:t>
      </w:r>
    </w:p>
    <w:p>
      <w:r>
        <w:t>49 Jahre alt, bezog aber seit 20 Jahren</w:t>
      </w:r>
    </w:p>
    <w:p>
      <w:r>
        <w:t>und rund</w:t>
      </w:r>
    </w:p>
    <w:p>
      <w:r>
        <w:t>5 Monaten (zur Anknüpfung an die Rentenberechtigung vgl. BGE 139 V 442</w:t>
      </w:r>
    </w:p>
    <w:p>
      <w:r>
        <w:t>E. 3 und 4)</w:t>
      </w:r>
    </w:p>
    <w:p>
      <w:r>
        <w:t>eine halbe Invalidenrente. Damit fäll t er grundsätzlich in die Kategorie jener versicherten Personen, die vor einer Rentenaufhebung Anspruch auf</w:t>
      </w:r>
    </w:p>
    <w:p>
      <w:r>
        <w:t>Eingliederungsmassnahmen haben .</w:t>
      </w:r>
    </w:p>
    <w:p>
      <w:r>
        <w:t>Die Beschwerdegegnerin hat den Anspruch auf Eingliederungsmassnahmen ge prüft, einen solchen aber verneint. Dies ist nicht zu beanstanden, zumal der Beschwerdeführer über eine berufliche Ausbildung verfügt und</w:t>
      </w:r>
    </w:p>
    <w:p>
      <w:r>
        <w:t>seit 2003</w:t>
      </w:r>
    </w:p>
    <w:p>
      <w:r>
        <w:t>in angepasster Tätigkei t durchwegs zu</w:t>
      </w:r>
    </w:p>
    <w:p>
      <w:r>
        <w:t>50 % arbeits tätig</w:t>
      </w:r>
    </w:p>
    <w:p>
      <w:r>
        <w:t>war . Somit bestand</w:t>
      </w:r>
    </w:p>
    <w:p>
      <w:r>
        <w:t>keine gänzliche Absenz vom Erwerbsleben .</w:t>
      </w:r>
    </w:p>
    <w:p>
      <w:r>
        <w:t>D er Beschwerdeführer war sogar in der Lage , als Mitinhaber von Firmen im Bereich Gartenbau einer selbständigen Erwerbstätigkeit nachzugehen . Ausserdem agierte er als kantonaler Prüfungs experte im Bereich Garten-/Landschaftsgartenbau (vgl. vorne E. 5.2) . Damit er scheint er hinreichend agil und gewandt und im gesellschaftlichen Leben inte griert</w:t>
      </w:r>
    </w:p>
    <w:p>
      <w:r>
        <w:t>und er kann auf eine gefestigte berufliche Erfahrung zurückgreifen (vgl. vorne E.</w:t>
      </w:r>
    </w:p>
    <w:p>
      <w:r>
        <w:rPr>
          <w:b/>
        </w:rPr>
        <w:t>E. 6.4</w:t>
      </w:r>
    </w:p>
    <w:p>
      <w:r>
        <w:t>).</w:t>
      </w:r>
    </w:p>
    <w:p>
      <w:r>
        <w:t>Vorliegend bestand</w:t>
      </w:r>
    </w:p>
    <w:p>
      <w:r>
        <w:t>kein Anlass für die IV-Stelle , ein eigenes Gutachten anzu ordnen, da sich in beiden Versicherungsb ereichen in medizinischer Hinsicht die selben Fragen stellten (aktueller Gesundheitszustand und Arbeitsfähigkeit sowie daraus resultierende Invalidität ) und sich die Gutachter auch zu den nicht unfall kausalen Beeinträchtigungen und ihren Auswirkungen auf die Arbeitsfähigkeit eingehend äusserten . Im Übrigen sind von weiteren medizinischen Abklärungen auch keine neuen Erkenntnisse zu erwarten, weshalb darauf verzichtet werden kann (antizipierte Beweiswürdigung: vgl. statt vieler BGE 124 V 90 E. 46) . 4 .2</w:t>
      </w:r>
    </w:p>
    <w:p>
      <w:r>
        <w:t>Aus dem Gutachten vom 17. Dezember 2015 geht hervor, dass sich der Ge sund heitszustand und die Arbeitsfähigkeit des Beschwerdeführers seit der Renten zu sprache</w:t>
      </w:r>
    </w:p>
    <w:p>
      <w:r>
        <w:t>wesentlich verändert haben. Aus neurologischer und orthopädischer Sich t sei von einer vollen Restitution der zum Unfall vom 2. Mai 1996 unfall kausalen Gesundheitsstörungen auszugehen . N europsychologische Defizite, wie sie im Rah men der Rentenzusprache angenommen worden waren, konnten nicht mehr festgestellt werden. Es konnten auch keine relevanten psychiatri schen Diag nosen gestellt werden. In psychiatrischer Hinsicht gelangte der Gutachter unter Aus klam merung psychosozialer und persönlichkeitsbedingte r Belastungsfaktoren zum Ergebnis, dass im Zeitpunkt der Begutachtung lediglich ein diffuses Be schwer debild bestand , jedoch</w:t>
      </w:r>
    </w:p>
    <w:p>
      <w:r>
        <w:t>k ein e</w:t>
      </w:r>
    </w:p>
    <w:p>
      <w:r>
        <w:t>relevante Störung – unabhängig zur Unfall kausalität - mit Krankheit s wert festgestellt werden konnte und die Arbeitsfähig keit nicht beeinträchtigt war .</w:t>
      </w:r>
    </w:p>
    <w:p>
      <w:r>
        <w:t>Unter diesen Umständen kann von einer Indika torenprüfung abgesehen</w:t>
      </w:r>
    </w:p>
    <w:p>
      <w:r>
        <w:t>werden, da im Rahmen der Begutachtung eine Arbeits unfähigkeit in nachvollziehbar begründeter Weise verneint wurde (vgl. BGE 143 V 409 E. 4.5.3; BGE 143 V 418 E. 7.1, vgl. auch Urteil des Bundesgerichts 8C_825/2018 vom 6. März 2019 E. 8.3 ). Zudem wurden im Rahmen der Begutachtung diverse Inkon sistenzen – insbesondere anlässlich der orthopädischen und der neuropsycho lo gischen Untersuchung - festgestellt. In der aktuellen Tätigkeit als Landschafts gärt ner attestierten die Gutachter dem Beschwerdeführer eine volle Arbeits fähig keit.</w:t>
      </w:r>
    </w:p>
    <w:p>
      <w:r>
        <w:t>Gestützt auf das Gutachten ist somit davon auszugehen, dass sich die Be schwerden spätestens im Zeitpunkt der Begutachtung wesentlich verbessert hab en und insbesondere in ihrer Wirkung auf die Arbeits- und Leistungsfähigkeit des Beschwerdeführers an Bedeutung verloren haben. Wenn die Gutachter aufgrund der objektiven Befundlage nunmehr von einer vollen Arbeitsfähigkeit ausgehen, so liegt eine Verbesserung des Gesundheitszustan des vor, welche revisions recht lich zu beachten ist. Daran ändert – entgegen der Auffassung des Be schwer deführers - nichts, dass das Gutachten auch neue Bewertungen enthält (vgl. Urteil des Bundesgerichts 8 C _248/2017 vom 24. Mai 2018 E. 4.2.3).</w:t>
      </w:r>
    </w:p>
    <w:p>
      <w:r>
        <w:t>Demzufolge ist von einer erheblichen Verbesserung des Gesundheitszustan des und der Arbeitsfähigkeit des Beschwerdeführers auszugehen. Entsprechend ist eine wesentliche Änderung in den tatsächlichen Verhältnissen, die geeignet ist, den Invaliditätsgrad und damit den Rentenanspruch zu beeinflussen, mit überwiegender Wahrscheinlichkeit erstellt. Da ein Revisionsgrund vorliegt, ist der Rentenanspruch des Beschwerdeführers in rechtlicher und tatsächlicher Hinsicht ex nunc et pro futuro</w:t>
      </w:r>
    </w:p>
    <w:p>
      <w:r>
        <w:t>umfassend zu prüfen, wobei keine Bindung an frühere Beurteilungen besteht (vgl. BGE 141 V 9 E. 2.3 mit Hinweisen ; vgl. auch Urteil des Bun desgerichts 9C_289/2018 vom 11.</w:t>
      </w:r>
    </w:p>
    <w:p>
      <w:r>
        <w:t>Dezember 2018 E.</w:t>
      </w:r>
    </w:p>
    <w:p>
      <w:r>
        <w:t>5 ). 4.3</w:t>
      </w:r>
    </w:p>
    <w:p>
      <w:r>
        <w:t>Aufgrund der medizinischen Aktenlage ist mit dem Beweisgrad der überwie gen den Wahrscheinlichkeit erstellt, dass ab dem Zeitpunkt der Begutachtung durch degenerative LWS- und HWS-Veränderungen eine leicht verminderte Rücken belastbarkeit besteht</w:t>
      </w:r>
    </w:p>
    <w:p>
      <w:r>
        <w:t>und das Zumutba r keitsprofil wie folgt lautet: Idealerweise arbeitet der Beschwerdeführer in einer körperlich leichten oder mittelschweren und nur gelegentlich schweren wechselbelastenden Tätigkeit. Langanhaltende sta tische Belastungen der Wirbelsäule und langanhaltende Belastungen der Wirbelsäule ausserhalb der Körperachse sowie mehr als nur gelegentliches schweres körperliches Arbeiten sind ihm nicht mehr</w:t>
      </w:r>
    </w:p>
    <w:p>
      <w:r>
        <w:t>zumutbar. Das gleiche gilt infolge bestehender Funktionseinschränkungen betreffend das linke obere Sprung gelenk für langanhaltendes Arbeiten im unebenen Gelände, insbesondere an Hängen oder Böschungen. Bei einer wechselbelastenden Tätigkeit ohne Zwangs störung für das linke obere S prunggelenk besteht eine ganztäg ige Arbeitsfähig keit bei nur manchmal Treppensteigen, ohne Besteigen von Leitern und Gerüsten, ohne Gehen auf unebenem Gelände und ohne kniende und kauernde Tätigkeiten. Nicht mehr zumutbar sind zudem Tätigkeiten, welche mit häufigem Bücken und Heben von Lasten über 25 kg verbunden sind.</w:t>
      </w:r>
    </w:p>
    <w:p>
      <w:r>
        <w:t>Im Ra hmen des Zumutbar keits profils besteht eine ganztägige Arbeitsfähigkeit ohne Leistungsminderung. 5.</w:t>
      </w:r>
    </w:p>
    <w:p>
      <w:r>
        <w:t>5.1</w:t>
      </w:r>
    </w:p>
    <w:p>
      <w:r>
        <w:t>Zu prüfen ist weiter , wie sich das verbesserte Leistungsvermögen des Be schwer deführers in wirtschaftlicher Hinsicht auswirkt. 5.2</w:t>
      </w:r>
    </w:p>
    <w:p>
      <w:r>
        <w:t>Der Beschwerdeführer hat ursprünglich eine Lehre als Maurer abgeschlossen (1987-1990) und von 1993-1995 die Polierschule (ohne Abschluss) absolviert. Er war von 1990-1995 als Vorarbeiter/Polier bei der Y.___ AG und ab 1996 als Polier bei der Z.___ AG tätig. Ab 2003 arbeitete er als Landschaftsgärtner und war Mitinhaber von Firmen im Bereich Gartenbau. Gemäss seinen Angaben hat er diese Tätigkeit mit 100 % Präsenzzeit und 50 % Leistung ausgeübt. Er war ausserdem kantonaler Prüfungsexperte im Bereich Garten-/Landschafts garten bau. Im Jahr 2015 hat er mit einem Kollegen eine neue Gartenbaufirma gegrün det. Dort arbeitete er in einem 50%-Pensum. Bei dieser Arbeit führte er gemäss eigenen Angaben vorwiegend leichte Tätigkeiten aus ( Urk. 6/192/8 vgl. auch UV.2019.00240 Urk. 8/376). 5.3</w:t>
      </w:r>
    </w:p>
    <w:p>
      <w:r>
        <w:t>Für die Ermittlung des Einkommens, das der Versicherte ohne Invalidität erzielen könnte ( Valideneinkommen ), ist entscheidend, was er im Zeitpunkt des frühest möglichen Rentenbeginns nach dem Beweisgrad der überwiegenden Wahrschein lichkeit als Gesunder tatsächlich verdient hätte.</w:t>
      </w:r>
    </w:p>
    <w:p>
      <w:r>
        <w:t>Der Beschwerdeführer war ursprünglich als Maurer bzw. Polier tätig. Aufgrund der Aktenlage ist anzu neh men, dass seine berufliche Neuorientierung (im Jahr 2003) im Bereich Gartenbau aus gesundheitlichen Gründen erfolgte. Somit ist davon auszugehen, dass er im Jahr 2018 ohne Unfall noch im Baugewerbe tätig wäre.</w:t>
      </w:r>
    </w:p>
    <w:p>
      <w:r>
        <w:t>Da sich das ohne gesundheitliche Beeinträchtigung realisierbare Einkommen vor liegend aufgrund der tatsächlichen Verhältnisse nicht hinreichend genau bezif fern lässt, ist dessen Bemessung anhand von Tabellenlöhnen nicht zu bean stan den . Die Beschwerdegegnerin stützte sich bei der Ermittlung des Validenein kom mens somit zu Recht auf die Lohnstrukturerhebung des Bundesamtes für Statistik (LSE). Die Durchschnittslöhne gemäss den Lohnerhebungen des Schwei zerischen Baumeisterverbandes sind – entgegen der Auffassung des Beschwer deführers - nich t massgebend , sondern es ist auf den Zentralwert (Median) gemäss LSE abzu stellen. Gemäss Tabelle TA1 (Monatlicher Bruttolohn [Zentralwert] nach Wirt schafts zweigen, Kompetenzniveau und Geschlecht, Privater Sektor), Ziffer 41-43 (Baugewerbe), Kompetenzniveau 3 (komplexe praktische Tätigkeiten, welche ein grosses Wissen in einem Spezialgebiet voraussetzen), Männer, der LSE 2016 (ver öffentlicht am 16. Oktober 2018) beträgt das Einkommen Fr. 7'356.-- pro Monat und Fr. 88'272.--. pro Jahr. Angepasst an die im Jahr 201 6 betriebsübliche durch schnittliche wöchentliche Arbeitszeit im Hoch- und Tiefbau von 41.6 Stunden ergibt dies Fr.</w:t>
      </w:r>
    </w:p>
    <w:p>
      <w:r>
        <w:t>91'803.-- . Unter Berücksichtigung der Entwicklung des Nominal lohnindexes der Saläre für männliche Arbeitskräfte von 2239 Punkten im Jahr 2016 auf 2260 Punkte im Jahr 2018 resultiert ein Valideneinkommen</w:t>
      </w:r>
    </w:p>
    <w:p>
      <w:r>
        <w:t>von Fr.</w:t>
      </w:r>
    </w:p>
    <w:p>
      <w:r>
        <w:t>92'664.- - . 5.4</w:t>
      </w:r>
    </w:p>
    <w:p>
      <w:r>
        <w:t>Für die Ermittlung des Invalideneinkommens zog die Beschwerdegegnerin den Lohn für Hilfsarbeiten (Tabelle TA1, Total, Kompetenzniveau 1) heran, was ange sichts des beruflichen Werdegangs des Beschwerdeführers nicht nachvollziehbar ist. So verfügt der Beschwerdeführer über eine abgeschlossene Berufsausbildung als Maurer und hat sich anschlie ssend zum Polier weitergebildet . Zudem war er im Gartenbau unter anderem selbständig erwerbstätig . Angesichts der abge schlossenen Berufsausbildung, der Berufserfahrung in komplexen praktischen Tätigkeiten, der selbständigen Erwerbstätigkeit und der damit einhergehenden Wahrnehmung von Führungsaufgaben sowie der ausgeübten Funktion als Prü fungs experte im Gartenbau erscheint es angemessen, Kompetenzniveau 3 heran zuziehen . Gemäss Tabelle TA1, Total, Kompetenzniveau 3, Männer der LSE 2016 beträgt das monatliche Einkommen Fr. 7'183.-- und das Jahreseinkommen Fr. 86’196.- -. Angepasst an die im Jahr 2016 betriebsübliche durchschnittliche wöchentliche Arbeitszeit von 41.7 Stunden ergibt dies Fr. 89'859.--. Unter Be rücksichtigung der Entwicklung des Nominallohnindexes der Saläre für männ liche Arbeitskräfte von 2239 Punkten im Jahr 2016 auf 2260 Punkte im Jahr 2018 resultiert ein Bruttoeinkommen von Fr. 90'702.--. Es sind keine Anhalts punkte ersichtlich, die einen leidensbedingten Abzug rechtfertigen würden, zumal das Kompetenzniveau 3 eine Vielzahl leichter Tätigkeiten enthält. Das Invali den einkommen beläuft sich somit auf Fr. 90'702.--. 5.5</w:t>
      </w:r>
    </w:p>
    <w:p>
      <w:r>
        <w:t>Bei einem Valideneinkommen von Fr. 92'664.-- und einem Invalideneinkommen von Fr. 90’702.-- resultier t eine Erwerbseinbusse von Fr. 1'962.-- , was einem ren tenausschliessenden Invaliditätsgrad von gerundet 2.1 % entspricht. Die Anpas sung der Nominallöhne auf den Zeitpunkt der angefochtenen Verfügung (2020) führt infolge Parallelität zu keinem anderen Ergebnis. 6.</w:t>
      </w:r>
    </w:p>
    <w:p>
      <w:r>
        <w:rPr>
          <w:b/>
        </w:rPr>
        <w:t>E. 7</w:t>
      </w:r>
    </w:p>
    <w:p>
      <w:r>
        <w:t>am 25. Februar 2008 anerkannt hatte (Urk. 6/192/898 f. ), sprach diese dem Versicherten mit Verfügung vom 14. März 2008 für beide Unfälle eine Invalidenrente basierend auf einem Inva liditätsgrad von 55 % ab 1. November 2006 sowie für die verbliebene Beein trächtigung aus dem Unfall vom 16. Juni 1991 eine auf einer Integritätseinbusse von 10 % beruhende Integritätsentschädigung zu (Urk. 6/ 192/889-892 ).</w:t>
      </w:r>
    </w:p>
    <w:p>
      <w:r>
        <w:rPr>
          <w:b/>
        </w:rPr>
        <w:t>E. 10</w:t>
      </w:r>
    </w:p>
    <w:p>
      <w:r>
        <w:t>bis April 2011 wurde der Versicherte im Auftrag des Haftpflichtversicherers observiert Urk. 6/192/323</w:t>
      </w:r>
    </w:p>
    <w:p>
      <w:r>
        <w:t>ff. und 353</w:t>
      </w:r>
    </w:p>
    <w:p>
      <w:r>
        <w:t>ff. ). Der Haft pflichtversicherer veranlasste sodann eine interdisziplinäre Begutachtung bei der D.___ (Gu t achten vom 3. Juni 2011, Urk. 6/ 192/450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