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IV.2019.00891 vom 10. August 2020</w:t>
      </w:r>
    </w:p>
    <w:p>
      <w:r>
        <w:t>ZH Sozialversicherungsgericht, 2020-08-10, DE</w:t>
      </w:r>
    </w:p>
    <w:p>
      <w:r>
        <w:rPr>
          <w:b/>
        </w:rPr>
        <w:t xml:space="preserve">Quelle: </w:t>
      </w:r>
      <w:r>
        <w:t>https://mcp.opencaselaw.ch/entscheid/zh_sozialversicherungsgericht_IV.2019.00891</w:t>
      </w:r>
    </w:p>
    <w:p>
      <w:r>
        <w:t>FR: ZH_SOZIALVERSICHERUNGSGERICHT IV.2019.00891 du 10 août 2020</w:t>
      </w:r>
    </w:p>
    <w:p>
      <w:r>
        <w:t>IT: ZH_SOZIALVERSICHERUNGSGERICHT IV.2019.00891 del 10 agosto 2020</w:t>
      </w:r>
    </w:p>
    <w:p>
      <w:pPr>
        <w:pStyle w:val="Heading2"/>
      </w:pPr>
      <w:r>
        <w:t>Erwägungen</w:t>
      </w:r>
    </w:p>
    <w:p>
      <w:r>
        <w:rPr>
          <w:b/>
        </w:rPr>
        <w:t>E. 1</w:t>
      </w:r>
    </w:p>
    <w:p>
      <w:r>
        <w:t>Die 2008 geborene X.___ leidet am Geburtsgebrechen 387 (angeborene Epi lepsie) gemäss Anhang zur Verordnung über Geburtsgebrechen ( GgV -Anhang), weswegen ihre Eltern sie am 1 7. August 2017 bei der Invalidenversicherung zum Leistungsbezug anmeldeten ( Urk. 6/1 ). Die Sozialversicherungsanstalt des Kan tons Zürich, IV-Stelle, holte in der Folge beim S pital Z.___ einen Arzt bericht ein ( Urk. 6/4) und teilte der Mutter der Versicherten am 3 1. Oktober 2017 mit, dass sie die Kosten für die Behandlung des Geburtsgebrechens und die ärzt lich verordneten Behandlungsgeräte in einfacher und zweckmässiger Ausführung vom 2 1. August 2016 bis am 3 1. August 2021 übernehme ( Urk. 6/5).</w:t>
      </w:r>
    </w:p>
    <w:p>
      <w:r>
        <w:t>Im weiteren Verlauf erteilte die IV-S telle Kostengutsprache für Ernährungs be ratung und eine ketogene Diät nach ärztlicher Verordnung ( Urk. 6/13) .</w:t>
      </w:r>
    </w:p>
    <w:p>
      <w:r>
        <w:t>E in Gesu ch um Hilfl osenentschädigung hingegen wurde mit Verfügung vom 2 4. Juni 2019 abgewiesen ( Urk. 6/26). Mit Schreiben vom 4. April 2019 ersuchten die Eltern der Versicherten um Zusprechung eines monatlichen oder jährlichen Ergänzungs beitrages ,</w:t>
      </w:r>
    </w:p>
    <w:p>
      <w:r>
        <w:t>da die Diät nicht ohne zusätzliche teure kohlenhydratarme Produkte durchführbar sei ( Urk. 6/21). Die IV-Stelle holte daraufhin beim S pital Z.___ weitere Informationen zu den</w:t>
      </w:r>
    </w:p>
    <w:p>
      <w:r>
        <w:t>Zusatzkosten der ketogenen Diät ein ( Urk. 6/32 ) und legte die Sache dem Regionalärztlichen Dienst (RAD) zur Stel lungnahme vor ( Urk. 6/35). Mit Vorbescheid vom 4. Oktober 2019 stellte die IV-Stelle die Abweisung des Leistungsbegehrens in Aussicht ( Urk. 6/36). Nachdem am 3 1. Oktober 2019 gegen den vorgesehenen Entscheid Einwände erhoben worden waren</w:t>
      </w:r>
    </w:p>
    <w:p>
      <w:r>
        <w:t>( Urk. 6/39) ,</w:t>
      </w:r>
    </w:p>
    <w:p>
      <w:r>
        <w:t>wies die IV-Stelle das Begehren mit Verfügung vom 1 3. November 2019 ab ( Urk. 6/42 = Urk. 2).</w:t>
      </w:r>
    </w:p>
    <w:p>
      <w:r>
        <w:rPr>
          <w:b/>
        </w:rPr>
        <w:t>E. 1.1</w:t>
      </w:r>
    </w:p>
    <w:p>
      <w:r>
        <w:t>Versicherte haben bis zum vollendeten 20. Altersjahr Anspruch auf die zur Be handlung von Geburtsgebrechen ( Art.</w:t>
      </w:r>
    </w:p>
    <w:p>
      <w:r>
        <w:rPr>
          <w:b/>
        </w:rPr>
        <w:t>E. 1.2</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w:t>
      </w:r>
    </w:p>
    <w:p>
      <w:r>
        <w:t>4c, vgl. auch 123 II 16 E. 7, 119 V 255 E. 3a mit Hinweisen). Das Gericht soll sie bei seiner Entscheidung mitberücksichtigen, sofern sie eine dem Einzelfall an gepasste und gerecht werdende Auslegung der anwendbaren gesetzlichen Bestim mungen zulassen. Es weicht anderseits insoweit von den Weisungen ab, als sie mit den anwendbaren gesetzlichen Bestimmungen nicht vereinbar sind (BGE 123 V 70 E. 4a mit Hinweisen). 2.</w:t>
      </w:r>
    </w:p>
    <w:p>
      <w:r>
        <w:rPr>
          <w:b/>
        </w:rPr>
        <w:t>E. 2</w:t>
      </w:r>
    </w:p>
    <w:p>
      <w:r>
        <w:t>Gegen diese Verfügung erhob die Mutter der Versicherten , Y .___ , als deren gesetzlich e</w:t>
      </w:r>
    </w:p>
    <w:p>
      <w:r>
        <w:t>V ertrete rin am 1 1. Dezember 2019 Beschwerde mit dem Rechtsbegehren, die angefochtene Verfügung sei aufzuheben und die Beschwer de gegnerin sei zu verpflichten, die Kosten für die ketogene Diät zu übernehmen ( Urk. 1 S. 2). Mit Beschwerdeantwort vom 3 0. Januar 2020 schloss die Beschwer degegnerin auf Abweisung der Beschwerde ( Urk. 5), worüber die Beschwerde führerin mit Verfügung vom 3 1. Januar 2020 in Kenntnis gesetzt wurde ( Urk. 7). Das Gericht zieht in Erwägung: 1.</w:t>
      </w:r>
    </w:p>
    <w:p>
      <w:r>
        <w:rPr>
          <w:b/>
        </w:rPr>
        <w:t>E. 2.1</w:t>
      </w:r>
    </w:p>
    <w:p>
      <w:r>
        <w:t>Die Beschwerdegegnerin begründete die angefochtene Verfügung vom 1 3. Nove m ber 2019 dahingehend, dass sie nur die Kosten für die Diät-Produkte gemäss Liste im Anhang 2 des Kreisschreibens über die medizinischen Eingliederungs mas s nahmen der Invalidenversicherung (KSME) berücksichtigen könne. Die Kosten für andere Produkte könnten nicht übernommen werden ( Urk. 2 S. 2).</w:t>
      </w:r>
    </w:p>
    <w:p>
      <w:r>
        <w:t>In der Beschwerdeantwort ergänzte sie, dass gemäss Anhang 2, Beilage 1 lit. a) und d) des KSME Pauschalbeträge für eine Spezialdiät lediglich bei Gliadinin toleranz gewährt würden. Im Umkehrschluss werde bei anderen Geburtsge brechen keine Spezialdiät übernommen. Deshalb könne sie im vorliegenden Fall keine Beiträge an die ketogene Diät übernehmen ( Urk.</w:t>
      </w:r>
    </w:p>
    <w:p>
      <w:r>
        <w:rPr>
          <w:b/>
        </w:rPr>
        <w:t>E. 2.2</w:t>
      </w:r>
    </w:p>
    <w:p>
      <w:r>
        <w:t>Die Beschwerdeführerin liess ausführen , für sie sei die Abweisung des B egehrens nicht nachvollziehbar. Es sei nicht glaubhaft, dass die Beschwerdegegnerin die am 3. Oktober 2019 eingegangene Auflistung der Zusatzkosten seriös geprüft habe, da sie bereits am nächsten Tag den Vorbescheid erlassen habe. Die Be schwerdegegnerin habe</w:t>
      </w:r>
    </w:p>
    <w:p>
      <w:r>
        <w:t>die Kosten für die ketogene Diät zu übernehmen. Zur medizinischen Begründung verwies sie auf das beiliegende Schreiben</w:t>
      </w:r>
    </w:p>
    <w:p>
      <w:r>
        <w:t>von Dr.</w:t>
      </w:r>
    </w:p>
    <w:p>
      <w:r>
        <w:t>med. A.___ , Oberärztin am S pital Z.___ , vom 1 2. Dezember 2019 ( Urk. 1 S. 2, vgl. Urk. 3/4) . 3.</w:t>
      </w:r>
    </w:p>
    <w:p>
      <w:r>
        <w:rPr>
          <w:b/>
        </w:rPr>
        <w:t>E. 3</w:t>
      </w:r>
    </w:p>
    <w:p>
      <w:r>
        <w:t>GgV ).</w:t>
      </w:r>
    </w:p>
    <w:p>
      <w:r>
        <w:rPr>
          <w:b/>
        </w:rPr>
        <w:t>E. 3.1</w:t>
      </w:r>
    </w:p>
    <w:p>
      <w:r>
        <w:t>Im Bericht vom 7. Septem b er 2019 der Abteilung für Klinische Neuro phy sio lo gie/EEG des S pitals Z.___ ( Urk. 6/4/5-7) nannten Prof. Dr. med. B.___ , Leitender Arzt, und Dr. med. C.___ , Assistenzärztin, als Diag nose eine idiopathisch generalisierte Epilepsie (Differentialdiagnose : Glucose-Transporter-Defekt )</w:t>
      </w:r>
    </w:p>
    <w:p>
      <w:r>
        <w:t>mit/bei - Anfallssemiologie: - k urze Absencen -ähnliche Zustände mit starrem Blick, ausdruckslosem Ge sicht und vereinzelten oralen Automatismen - z umeist ans Aufwachen gebundene Episoden mit psychomotorischer Ver langsamung und wirrem Sprechen über wenige Minuten - p rolongiertes Ereignis (ca. 3 h) mit psychomotorischer Verlangsamung, Hypersalivation, eingeschränkter verbaler Kommunikationsfähigkeit, Ne steln , wirrem Sprechen und Agitiertheit im Juni 2017 - a namnestisch grobmotor ischer Ungeschicklichkeit - Schulschwierigkeiten mit integriertem Förderbedarf in Mathe und Deutsch</w:t>
      </w:r>
    </w:p>
    <w:p>
      <w:r>
        <w:t>Zum aktuellen Zeitpunkt sei die Prognose nicht absehbar, bei fehlender wesent licher Befundbesserung sei bei der nächsten Verlaufskontrolle eine genetische Diag nostik auf einen Glukosetranspo rterdefekt</w:t>
      </w:r>
    </w:p>
    <w:p>
      <w:r>
        <w:t>angezeigt . Gestützt darauf erfolgte die Kostengutsprache der Beschwerdegegnerin für medizinische Massnahmen vom 3</w:t>
      </w:r>
    </w:p>
    <w:p>
      <w:r>
        <w:rPr>
          <w:b/>
        </w:rPr>
        <w:t>E. 5</w:t>
      </w:r>
    </w:p>
    <w:p>
      <w:r>
        <w:t>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