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IV.2019.00823 vom 10. März 2021</w:t>
      </w:r>
    </w:p>
    <w:p>
      <w:r>
        <w:t>ZH Sozialversicherungsgericht, 2021-03-10, DE</w:t>
      </w:r>
    </w:p>
    <w:p>
      <w:r>
        <w:rPr>
          <w:b/>
        </w:rPr>
        <w:t xml:space="preserve">Quelle: </w:t>
      </w:r>
      <w:r>
        <w:t>https://mcp.opencaselaw.ch/entscheid/zh_sozialversicherungsgericht_IV.2019.00823</w:t>
      </w:r>
    </w:p>
    <w:p>
      <w:r>
        <w:t>FR: ZH_SOZIALVERSICHERUNGSGERICHT IV.2019.00823 du 10 mars 2021</w:t>
      </w:r>
    </w:p>
    <w:p>
      <w:r>
        <w:t>IT: ZH_SOZIALVERSICHERUNGSGERICHT IV.2019.00823 del 10 marzo 2021</w:t>
      </w:r>
    </w:p>
    <w:p>
      <w:pPr>
        <w:pStyle w:val="Heading2"/>
      </w:pPr>
      <w:r>
        <w:t>Erwägungen</w:t>
      </w:r>
    </w:p>
    <w:p>
      <w:r>
        <w:rPr>
          <w:b/>
        </w:rPr>
        <w:t>E. 1</w:t>
      </w:r>
    </w:p>
    <w:p>
      <w:r>
        <w:t>4. Mai 2016 meldete sie sich unter Hinweis auf einen Borderline -Typ und Depressionen bei der Invalidenversicherung zum Leistungsbezug an (Urk. 7/1-2 ). Die Sozialversicherungsanstalt des Kantons Zürich, IV-Stelle, tätigte medizini sche und erwerbliche A bklärungen</w:t>
      </w:r>
    </w:p>
    <w:p>
      <w:r>
        <w:t>und veranlasste am 6. Dezember 2016 und am 6. Juni 2019 jeweils eine Abklärung im Haushalt (Bericht e vom 8. Dezember 2016 , Urk. 7/18 , und 7. Juni 2019, Urk. 7/110 ). Zudem sprach sie d er Versicherten verschiedene berufliche Massnahmen zu (vgl. etwa Urk. 7/53 , Urk. 7/66, Urk. 7 /83 und Urk. 7/96), in deren Folge die Versicherte am 1. Februar 2019 in der Genossenschaft Z.___ eine Anstellung als Verkäuferin in einem 50 % -Pen sum antreten konnte ( Urk. 7/104). Nach durchgeführtem Vorbescheid ver fahren ( Urk. 7/118 ) sprach sie ihr mit Verfügung en vom 17. Oktober 2019 gestützt auf eine 61.5%ige Einschränkung im Erwerbsbereich (hypothetische Erwerbstätigkeit 60 % ) und eine Einschränkung von 8 % im Haushalt (Anteil 40 % ) ab 1. Februar 2019 eine Viertelsrente der Invalidenversicherung ( Gesamtinvaliditätsgrad 40 % , Urk. 2 /1 ) samt Kinderrente ( Urk. 2/2) zu .</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Geburtsge 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w:t>
      </w:r>
    </w:p>
    <w:p>
      <w:r>
        <w:rPr>
          <w:b/>
        </w:rPr>
        <w:t>E. 1.4</w:t>
      </w:r>
    </w:p>
    <w:p>
      <w:r>
        <w:t>Bei Versicherten, die nur zum Teil erwerbstätig sind oder die unentgeltlich im Betrieb des Ehegatten oder der Ehegattin mitarbeiten, wird für diesen Teil die Invalidität nach Art. 16 ATSG festgelegt. Waren sie daneben auch im Aufgaben 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 chend der Behinderung in beiden Bereichen zu bemessen ( Art. 28a Abs. 3 IVG); dies ist die gemischte Methode der Invaliditätsbemessung (vgl. BGE 141 V 15 E. 3.2 mit Hinweisen).</w:t>
      </w:r>
    </w:p>
    <w:p>
      <w:r>
        <w:t>Gemäss dem in Art. 27 bis Abs. 2–4 der Verordnung über die Invalidenversi che rung (IVV) per 1. Januar 2018 eingeführten neuen Berechnungsmodell für die Festlegung des Invaliditätsgrads von teilerwerbstätigen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Erwerbstätigkeit richtet sich nach Art. 16 ATSG, wobei das Erwerbseinkommen, das die versicherte Person durch die Teilerwerbstätigkeit erzielen könnte, wenn sie nicht invalid geworden wäre, auf eine Vollerwerbstätigkeit hochgerechnet wird (Art. 27 bis Abs. 3 lit . a IVV) und die prozentuale Erwerbseinbusse anhand des Beschäftigungsgrads, den die versi cherte Person hätte, wenn sie nicht invalid geworden wäre, gewichtet wird (Art. 27 bis Abs. 3 lit . b IVV). Für die Berechnung des Invaliditätsgrads in Bezug auf die Betätigung im Aufgabenbereich wird der prozentuale Anteil der Ein schränkungen bei der Betätigung im Aufgabenbereich im Vergleich zur Situation, wenn die versicherte Person nicht invalid geworden wäre, ermittelt. Der Anteil wird anhand der Differenz zwischen dem Beschäftigungsgrad nach Absatz 3 lit . b und einer Vollerwerbstätigkeit gewichtet ( Art. 27 bis Abs. 4 IVV). 2.</w:t>
      </w:r>
    </w:p>
    <w:p>
      <w:r>
        <w:rPr>
          <w:b/>
        </w:rPr>
        <w:t>E. 2</w:t>
      </w:r>
    </w:p>
    <w:p>
      <w:r>
        <w:t>Dagegen erhob die Versicherte am 1 8. November 2019 Beschwerde (Urk. 1) und beantragte, die angefochtene n Verfügung en sei en aufzuheben und es sei ihr ab dem 1. Februar 2019 eine Rente der Invalidenversicherung gestützt auf einen In validitätsgrad von mindestens 50 % zuzusprechen. Zudem sei ihr die unent gelt liche Prozessführung unter Bestellung einer unentgeltlichen Rechtsvertretung zu bewilligen. Am 7. Januar 2020 (Urk.</w:t>
      </w:r>
    </w:p>
    <w:p>
      <w:r>
        <w:rPr>
          <w:b/>
        </w:rPr>
        <w:t>E. 2.1</w:t>
      </w:r>
    </w:p>
    <w:p>
      <w:r>
        <w:t>Die Beschwerdegegnerin begründete die angefochtene Verfügung vom 17. Okto ber 2019 (Urk. 2 /1 ) damit, dass die Beschwerdeführerin bei guter Gesundheit zu 60 % im Erwerb und zu 40 % im Haushalt tätig wäre. Die Einschränkung im Haushalt betrage 8 % . Seit dem 1. Februar 2019 bestehe in jeglicher Tätigkeit eine Arbeitsfähigkeit von 50 % . Unter Berücksichtigung des derzeitigen Lohnes in ihrer 50 % -Tätigkeit bei der Berechnung des Invalideneinkommens ergebe sich ein Gesamti nvaliditätsgrad von 40 % . Ein Rentenanspruch könne erst nach Ab schluss der beruflichen Massnahmen mit Taggeld entstehen, weshalb sie ab 1. Februar 2019 Anspruch auf eine Viertelsrente habe (S. 3).</w:t>
      </w:r>
    </w:p>
    <w:p>
      <w:r>
        <w:rPr>
          <w:b/>
        </w:rPr>
        <w:t>E. 2.2</w:t>
      </w:r>
    </w:p>
    <w:p>
      <w:r>
        <w:t>Die Beschwerdeführerin stellte sich demgege nüber auf den Standpunkt ,</w:t>
      </w:r>
    </w:p>
    <w:p>
      <w:r>
        <w:t>die von der Beschwerdegegnerin an genommene Qualifikation von 60 % im Erwerbsbe reich und 40 % im Haushalt treffe nicht zu. Vielmehr sei - aus näher dargelegten Gründen - im Gesundheitsfall von einer mindestens 80%igen Erwerbstätigkeit auszugehen ( Urk.</w:t>
      </w:r>
    </w:p>
    <w:p>
      <w:r>
        <w:rPr>
          <w:b/>
        </w:rPr>
        <w:t>E. 6</w:t>
      </w:r>
    </w:p>
    <w:p>
      <w:r>
        <w:t>ATSG) gewesen sind; und c.</w:t>
      </w:r>
    </w:p>
    <w:p>
      <w:r>
        <w:t>nach Ablauf dieses Jahres zu mindestens 40 % invalid ( Art.</w:t>
      </w:r>
    </w:p>
    <w:p>
      <w:r>
        <w:rPr>
          <w:b/>
        </w:rPr>
        <w:t>E. 6.2</w:t>
      </w:r>
    </w:p>
    <w:p>
      <w:r>
        <w:t>mit Hinweisen). Im gleichen Sinne entschied es im Urteil 9C_915 /2012 Urteil vom 15.</w:t>
      </w:r>
    </w:p>
    <w:p>
      <w:r>
        <w:t>Mai 2013, dass ein Unfallereignis - gemäss der Versicherten im Sinne eines «Ersatzprogrammes» (statt vollzeitlich erwerbstätig zu bleiben) - die Grün dung einer Familie wohl begünstigt haben mochte. Indessen könne nach der all gemeinen Lebenserfahrung und dem gewöhnlichen Lauf der Dinge unter Berück sichtigung der menschlichen Natur nicht mit überwiegender Wahrscheinlichkeit davon ausgegangen werden, die Versicherte würde heute ohne die erlittenen Unfälle nicht in einer Partnerschaft leben oder jedenfalls keine Kinder haben ( Urteil des Bundesgerichts 9C_915/2012 vom 15. Mai 2013 E. 4.2.1 ).</w:t>
      </w:r>
    </w:p>
    <w:p>
      <w:r>
        <w:t>4.3.4</w:t>
      </w:r>
    </w:p>
    <w:p>
      <w:r>
        <w:t>Bei dieser Ausgangslage ist zur Beantwortung der Qualifikationsfrage von den konkreten Verhältnissen auszugehen. Diese zeichnen sich dadurch aus, dass die Beschwerdeführerin in Trennung lebt respektive die Scheidung bevorsteht, dass der Ehemann die Obhut über die Tochter ausübt, diese nur einen Nachmittag pro Woche sowie jedes zweite Wochenende bei ihr verbringt und dass die Beschwer deführerin keinerlei Zahlungen vom Ehemann empfängt (Urk. 7/110 S. 3 f. und Urk.</w:t>
      </w:r>
    </w:p>
    <w:p>
      <w:r>
        <w:t>7/106/2). Ob die Beschwerdeführerin im Gesundheitsfall bei der Familie leben oder auch im Scheidungsverfahren stehen und ob diesfalls ihr das Obhutsrecht zugesprochen würde, ist nicht relevant. 4.3.5</w:t>
      </w:r>
    </w:p>
    <w:p>
      <w:r>
        <w:t>Angesichts der geschilderten Umstände ergibt sich, dass die Beschwerdeführerin im Gesundheitsfall in einem hohen Pensum erwerbstätig wäre. Sie bekommt keine Unterhaltszahlungen und hat die Tochter lediglich an einem Nachmittag sowie jedes zweite Wochenende zu betreuen. Vor der Geburt der Tochter war die Beschwerdeführerin vollzeitlich erwerbstätig und gab die Arbeit wegen des Fami lienzuwachses auf. Diese Umstände deuten darauf hin, dass die Beschwer deführerin - wie sie beantragt (Urk. 13 S. 5) - jedenfalls zu 80 % arbeitstätig wäre respektive sein müsste, um überhaupt ihren Lebensunterhalt bestreiten zu können . So hätte sie auch Zeit für die Betreuung der Tochter.</w:t>
      </w:r>
    </w:p>
    <w:p>
      <w:r>
        <w:t>Die Beschwerdeführerin ist demgemäss als zu 80 % im Erwerbs- und 20 % im Haushaltsbereich tätig zu qualifizieren. 5. 5.1</w:t>
      </w:r>
    </w:p>
    <w:p>
      <w:r>
        <w:t>Zu prüfen bleibt, wie sich das Leistungsvermögen de r Beschwerdeführer in in wirt schaftlicher Hinsicht auswirkt.</w:t>
      </w:r>
    </w:p>
    <w:p>
      <w:r>
        <w:t>Der für die Invaliditätsbemessung und damit den Rentenanspruch massge bende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3.4.2). 5.2</w:t>
      </w:r>
    </w:p>
    <w:p>
      <w:r>
        <w:t>Die Beschwerdegegnerin hat das Valideneinkommen gestützt auf die Tabellen löhne gemäss den vom Bundesamt für Statistik periodisch herausgegebenen Lohn strukturerhebungen (LSE) 2016 (TA1) festgelegt und dabei den monatlichen Brutto lohn (Zentralwert) für Frauen in praktischen Tätigkeiten im Sektor Land verkehr, Schifffahrt, Luftfahrt, Lagerei ( Ziff. 49-52) herang ezogen ( Fr. 5'327.--) und diesen unter Berücksichtigung einer betriebsüblichen durchschnittlichen wöchentlichen Arbeitszeit von 41.7 Stunden auf das Jahr 2019 aufgerechnet. Daraus ergibt sich ein Valideneinkommen von Fr. 67'578.10 (vgl. Urk. 7/115/1), was nicht zu bean standen ist. Soweit die Beschwerdeführerin geltend machte, es sei stattdessen ihr letztes Einkommen samt Lohnerhöhungen zu berücksichtigen, ist festzuhalten, dass nicht erstellt ist, dass sie ihre letzte Stelle gesundheitsbedingt aufgegeben hat , diese also ohne Erkrankung und trotz der Geburt ihrer Tochter mit über wie gender Wahrscheinlichkeit weiterhin ausüben würde (vgl. dazu auch Urk. 7/1/8) . Ohnehin würde sich bei Aufrechnung ihres letzten Ein kommens (Fr. 62'536.50 per 2012, Urk. 7/7/2) auf das Jahr 2019 (vgl. Indices 2012: 2630 und 2019: 2759, Entwicklung der Nominallöhne, Bundesamt für Statistik, T39, Frauen) ein ti eferes Valideneinkommen ergeben, weshalb darauf nicht weiter einzugehen ist. 5.3</w:t>
      </w:r>
    </w:p>
    <w:p>
      <w:r>
        <w:t>Das Invalideneinkommen ist unbestritten auf Fr. 26'000.-- festzulegen, nachdem die Beschwerdeführerin mit ihrer 50 % -Tätigkeit in der Ge nossenschaft Z.___ ihre Restarbeitsfähigkeit bestmöglich ausschöpft. 5.4</w:t>
      </w:r>
    </w:p>
    <w:p>
      <w:r>
        <w:t>Aus dem Vergleich des Validen- mit dem Invalideneinkommen ergibt sich ein e Einschränkung von 61.5 % im Erwerbsbereich, woraus bei einer Gewichtung zu 8 0</w:t>
      </w:r>
    </w:p>
    <w:p>
      <w:r>
        <w:t>% ein Teilinvaliditätsgrad von 49 . 2 %</w:t>
      </w:r>
    </w:p>
    <w:p>
      <w:r>
        <w:t>resultiert . 6.</w:t>
      </w:r>
    </w:p>
    <w:p>
      <w:r>
        <w:t>Die Beschwerdegegnerin ging von einer Einschränkung im Haushalt von 8 % aus, was gewichtet zu 20 % zu einem Teilinvaliditätsgrad von 1.6 % und einem Gesamtinvaliditätsgrad von 51 % und einem Anspruch auf eine halbe Rente führt. Um Anspruch auf eine Dreiviertelsrente der Invalidenversicherung zu haben, müsste die Beschwerdeführerin in ihrem Aufgabenbereich mindestens zu 51.5 % eingeschränkt sein ([59.5 - 49.2] / 20 %). Anlässlich der Haushaltsabklärung vom 6. Juni 2019 stellte die Beschwerdegegnerin eine Einschränkung von 8 % fest. Entgegen den Ausführungen der Beschwerdeführerin ( Urk.</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S. 5) war b eim Ge spräch eine Fachperson aus dem Bereich Psychiatrie anwesend . Diese bestätigte ebenso wie die Beschwerdeführerin, dass sie in den Aufgabenbereichen Ernäh rung, Wohnungs- und Hauspflege sowie Haustierhaltung nicht eingeschränkt ist (Gewichtung der Bereiche: 60 % ). Auch aus den Ausführungen der Abklä rungs person ist nachvollziehbar, dass in diesen Bereichen keine Einschränkung besteht und es ist darauf abzustellen . Bei dieser Ausgangslage könnte selbst bei einer vollständigen Einschränkung in den anderen Bereichen (Einkauf sowie weitere Besorgungen, Wäsche und Kleiderpflege sowie Betreuung von Kindern und/oder Angehörigen) gar keine Gesamteinschränkung von 51.5 % resultieren. Aus den Akten ergeben sich zudem keine Anhaltspunkte für eine Einschränkung in hohem Ausmass. Der exakte Umfang der Einschränkung im Aufgabenbereich kann unter diesen Umständen offenbleiben. Von weiteren medizini schen Abklärungen zu den Einschränkungen der Beschwerdeführerin bei der Führung des Haushaltes sind keine zusätzlichen Erkenntnisse zu erwarten, weshalb darauf in antizipierter Beweiswürdigung ( vgl. BGE 122 V 157 E. 1d mit Hinweisen) zu verzichten ist.</w:t>
      </w:r>
    </w:p>
    <w:p>
      <w:r>
        <w:t>Dies führt zur Gutheissung d er Beschwerde. 7 .</w:t>
      </w:r>
    </w:p>
    <w:p>
      <w:r>
        <w:t>7 .1</w:t>
      </w:r>
    </w:p>
    <w:p>
      <w:r>
        <w:t>Da es um die Bewilligung oder Verweigerung von Versicherungsleistungen geht, ist das Verfahren kostenpflichtig und sind die Gerichtskosten gemäss Art. 69 Abs. 1 bis IVG ermessensweise auf Fr. 7 00.-- festzusetzen .</w:t>
      </w:r>
    </w:p>
    <w:p>
      <w:r>
        <w:t>Ausgangs gemäss sind die Gerichtskosten der Beschwerde gegnerin aufzuerlegen.</w:t>
      </w:r>
    </w:p>
    <w:p>
      <w:r>
        <w:t>7 .2</w:t>
      </w:r>
    </w:p>
    <w:p>
      <w:r>
        <w:t>Bei diesem Ausgang des Verfahrens hat die Beschwerdegegnerin dem unentgelt liche n Rechtsvertreter der Beschwerdeführerin, Rechtsanwalt Dr. Massimo</w:t>
      </w:r>
    </w:p>
    <w:p>
      <w:r>
        <w:t>Aliotta , Winterthur, eine Entschädigung zu entrichten . Nachdem er keine Honorarnote eingereicht hat (vgl. Urk.</w:t>
      </w:r>
    </w:p>
    <w:p>
      <w:r>
        <w:rPr>
          <w:b/>
        </w:rPr>
        <w:t>E. 17</w:t>
      </w:r>
    </w:p>
    <w:p>
      <w:r>
        <w:t>Ziff. 2), ist diese vom Gericht ohne Rücksicht auf den Streitwert nach der Bedeu tung der Streitsache und nach der Schwierigkeit des Prozesses, dem Zeitauf wand und den Barauslagen (§ 34 Abs. 1 und 3 des Gesetzes über das Sozial versicherungsgericht, GSVGer ) auf Fr. 2‘200.-- (inkl. Barauslagen und MWSt ) festzusetzen. Das Gericht erkennt: 1.</w:t>
      </w:r>
    </w:p>
    <w:p>
      <w:r>
        <w:t>In Gutheissung der Beschwerde wird die Verfügung der Sozialversicherungsanstalt des Kantons Zürich, IV-Stelle, vom 17. Oktober 2019 insofern abgeändert, als festgestellt wird, dass die Beschwerdeführerin ab 1. Februar 2019 Anspruch auf eine halbe Rente der Invalidenversicherung hat. 2.</w:t>
      </w:r>
    </w:p>
    <w:p>
      <w:r>
        <w:t>Die Gerichtskosten von</w:t>
      </w:r>
    </w:p>
    <w:p>
      <w:r>
        <w:t>Fr. 7 00.-- werden der Beschwerdegegnerin auferlegt.</w:t>
      </w:r>
    </w:p>
    <w:p>
      <w:r>
        <w:t>Rechnung und Einzahlungsschein werden</w:t>
      </w:r>
    </w:p>
    <w:p>
      <w:r>
        <w:t>der Kostenpflichtigen nach Eintritt der Rechtskraft zugestellt.</w:t>
      </w:r>
    </w:p>
    <w:p>
      <w:r>
        <w:t>3.</w:t>
      </w:r>
    </w:p>
    <w:p>
      <w:r>
        <w:t>Die Beschwerdegegnerin wird</w:t>
      </w:r>
    </w:p>
    <w:p>
      <w:r>
        <w:t>verpflichtet,</w:t>
      </w:r>
    </w:p>
    <w:p>
      <w:r>
        <w:t>dem</w:t>
      </w:r>
    </w:p>
    <w:p>
      <w:r>
        <w:t>une ntgeltlichen Rechtsvertreter der Beschwerdeführerin , Rechtsanwalt Dr. Massimo Aliotta , Winterthur, eine Prozessent schädigung von</w:t>
      </w:r>
    </w:p>
    <w:p>
      <w:r>
        <w:t>Fr.</w:t>
      </w:r>
    </w:p>
    <w:p>
      <w:r>
        <w:t>2’ 2 00.-- (inkl. Barauslagen und MWSt ) zu bezahlen. 4.</w:t>
      </w:r>
    </w:p>
    <w:p>
      <w:r>
        <w:t>Zustellung gegen Empfangsschein an: - Rechtsanw alt Dr. Massimo Aliotta - Sozialversicherungsanstalt des Kantons Zürich, IV-Stelle - Bundesamt für Sozialversicherungen sowie an: - Gerichtskasse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