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IV.2019.00805 vom 25. Februar 2021</w:t>
      </w:r>
    </w:p>
    <w:p>
      <w:r>
        <w:t>ZH Sozialversicherungsgericht, 2021-02-25, DE</w:t>
      </w:r>
    </w:p>
    <w:p>
      <w:r>
        <w:rPr>
          <w:b/>
        </w:rPr>
        <w:t xml:space="preserve">Quelle: </w:t>
      </w:r>
      <w:r>
        <w:t>https://mcp.opencaselaw.ch/entscheid/zh_sozialversicherungsgericht_IV.2019.00805</w:t>
      </w:r>
    </w:p>
    <w:p>
      <w:r>
        <w:t>FR: ZH_SOZIALVERSICHERUNGSGERICHT IV.2019.00805 du 25 février 2021</w:t>
      </w:r>
    </w:p>
    <w:p>
      <w:r>
        <w:t>IT: ZH_SOZIALVERSICHERUNGSGERICHT IV.2019.00805 del 25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 wegen das Revisionsergebnis gestützt auf Art. 74 ter</w:t>
      </w:r>
    </w:p>
    <w:p>
      <w:r>
        <w:t>lit . f der Verordnung über die Invalidenversicherung (IVV) auf dem Weg der blossen Mitteilung (Art. 51 ATSG), ist im darauffolgenden Revisionsverfahren zeitlich zu vergleichender Ausgangs sachverhalt derjenige, welcher der Mitteilung zugrunde lag (Urteil des Bundes gerichts 9C_599/2016 vom 29. März 2017 E. 3.1.2 unter Hinweis auf 8C_441/2 012 vom 25. Juli 2013 E. 3.1.2). 1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 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f.). Weiter machte der Beschwerdeführer einen leidensbedingten Ab zug aufgrund des Teilzeitpensums und seines Migrationshintergrundes geltend. Letztlich sei die verfügte Rentenaufhebung ohne abgeschlossene Eingliederungs massnahmen bundesrechtswidrig, da der Rentenbezug länger als 15 Jahre ange dauert habe ( Urk. 1 S. 3).</w:t>
      </w:r>
    </w:p>
    <w:p>
      <w:r>
        <w:rPr>
          <w:b/>
        </w:rPr>
        <w:t>E. 2.1</w:t>
      </w:r>
    </w:p>
    <w:p>
      <w:r>
        <w:t>Die Beschwerdegegnerin erwog in der angefochtenen Verfügung vom 1 1. Oktober 2019, aus dem Gutachten des E.___</w:t>
      </w:r>
    </w:p>
    <w:p>
      <w:r>
        <w:t>habe sich ergeben, dass sich die gesundheitliche Situation des Beschwerdeführers erheblich verbessert ha be. Die Auswirkungen der psychis chen Krankheit seien sodann n ur noch sehr gering und er könn e aus medizinischer Sicht in einem Pensum von 80 % arbeiten. Bei einem daraus resul tierenden Invaliditätsgrad von 20 % bestehe kein Anspruch auf weitere Ren ten leistungen.</w:t>
      </w:r>
    </w:p>
    <w:p>
      <w:r>
        <w:rPr>
          <w:b/>
        </w:rPr>
        <w:t>E. 2.2</w:t>
      </w:r>
    </w:p>
    <w:p>
      <w:r>
        <w:t>Der Beschwerdeführer bringt dagegen im Wesentlichen vor, seine gesundheit lichen Einschränkungen seien weitaus gravierender als im Gutachten des E.___ vom 4. Dezember 2017 festgehalten worden sei. Er sei insbesondere in psychi scher Hinsicht weiterhin zu 100 % arbeitsunfähig. Doch auch unter Annahme der im Gutachten festgehaltenen Einschränkungen sei es illusorisch davon auszu gehen, dass ein Arbeitgeber ihn mit seinen Einschränkungen und seiner langen Abwesenheit vom primären Arbeitsmarkt anstellen würde. Der Invaliditätsgrad liege bei 100 % , jedenfalls deutlich über 70 % , weshalb weiterhin eine ganze Rente geschuldet sei ( Urk. 1 S.</w:t>
      </w:r>
    </w:p>
    <w:p>
      <w:r>
        <w:t>2). Zudem sei unhaltbar, dass der Beschwerde führer zur Berechnung des Validenlohns als Hilfsarbeiter qualifiziert worden sei. Ohne das Unfallereignis und die nachfolgend en gesundheitlichen Probleme hätte er nämlich eine Lehre abgeschlossen und w ü rde nun deutlich mehr verdienen ( Urk. 1 S.</w:t>
      </w:r>
    </w:p>
    <w:p>
      <w:r>
        <w:rPr>
          <w:b/>
        </w:rPr>
        <w:t>E. 2.3</w:t>
      </w:r>
    </w:p>
    <w:p>
      <w:r>
        <w:t>Streitig und zu prüfen ist, ob die Beschwerdegegnerin die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