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IV.2019.00613 vom 3. März 2020</w:t>
      </w:r>
    </w:p>
    <w:p>
      <w:r>
        <w:t>ZH Sozialversicherungsgericht, 2020-03-03, DE</w:t>
      </w:r>
    </w:p>
    <w:p>
      <w:r>
        <w:rPr>
          <w:b/>
        </w:rPr>
        <w:t xml:space="preserve">Quelle: </w:t>
      </w:r>
      <w:r>
        <w:t>https://mcp.opencaselaw.ch/entscheid/zh_sozialversicherungsgericht_IV.2019.00613</w:t>
      </w:r>
    </w:p>
    <w:p>
      <w:r>
        <w:t>FR: ZH_SOZIALVERSICHERUNGSGERICHT IV.2019.00613 du 3 mars 2020</w:t>
      </w:r>
    </w:p>
    <w:p>
      <w:r>
        <w:t>IT: ZH_SOZIALVERSICHERUNGSGERICHT IV.2019.00613 del 3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1958,</w:t>
      </w:r>
    </w:p>
    <w:p>
      <w:r>
        <w:t>meldete sich erstmals a m</w:t>
      </w:r>
    </w:p>
    <w:p>
      <w:r>
        <w:rPr>
          <w:b/>
        </w:rPr>
        <w:t>E. 2</w:t>
      </w:r>
    </w:p>
    <w:p>
      <w:r>
        <w:t>5. Juli 1994 unter Hinweis auf eine HIV-Infektion, psychische und physische Folgen einer Drogenabhängig keit sowie wiederholt auftretende Lungenentzündungen bei der Invalidenversi cherung zum Leistungsbezug an ( Urk. 7/2). Die Sozialversicherungsanstalt des Kantons Zürich, IV-Stelle, sprach ihm in der Folge mit Verfügung vom 1 9. Oktober 1994 eine ganze Rente ab 1. Juni 1994 zu ( Urk. 7/9). Nach einer vorübergehenden Sistierung vom 1. September 1994 ( Urk. 7/21) bis</w:t>
      </w:r>
    </w:p>
    <w:p>
      <w:r>
        <w:rPr>
          <w:b/>
        </w:rPr>
        <w:t>E. 3</w:t>
      </w:r>
    </w:p>
    <w:p>
      <w:r>
        <w:t>0. Mai 2005 meldete sich der Versicherte erneut bei der Invalidenversiche rung zum Leistungsbezug an ( Urk. 7/123) . Das Amt für AHV und IV des Kantons Thurgau, IV- Stelle ,</w:t>
      </w:r>
    </w:p>
    <w:p>
      <w:r>
        <w:t>sprach ihm in der Folge mit Verfügung vom 5. Dezember 2005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