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IV.2019.00517 vom 11. Juni 2019</w:t>
      </w:r>
    </w:p>
    <w:p>
      <w:r>
        <w:t>ZH Sozialversicherungsgericht, 2019-06-11, DE</w:t>
      </w:r>
    </w:p>
    <w:p>
      <w:r>
        <w:rPr>
          <w:b/>
        </w:rPr>
        <w:t xml:space="preserve">Quelle: </w:t>
      </w:r>
      <w:r>
        <w:t>https://mcp.opencaselaw.ch/entscheid/zh_sozialversicherungsgericht_IV.2019.00517</w:t>
      </w:r>
    </w:p>
    <w:p>
      <w:r>
        <w:t>FR: ZH_SOZIALVERSICHERUNGSGERICHT IV.2019.00517 du 11 juin 2019</w:t>
      </w:r>
    </w:p>
    <w:p>
      <w:r>
        <w:t>IT: ZH_SOZIALVERSICHERUNGSGERICHT IV.2019.00517 del 11 giugno 2019</w:t>
      </w:r>
    </w:p>
    <w:p>
      <w:pPr>
        <w:pStyle w:val="Heading2"/>
      </w:pPr>
      <w:r>
        <w:t>Erwägungen</w:t>
      </w:r>
    </w:p>
    <w:p>
      <w:r>
        <w:rPr>
          <w:b/>
        </w:rPr>
        <w:t>E. 1</w:t>
      </w:r>
    </w:p>
    <w:p>
      <w:r>
        <w:t>Der 1994 geborene X.___</w:t>
      </w:r>
    </w:p>
    <w:p>
      <w:r>
        <w:t>meldete sich</w:t>
      </w:r>
    </w:p>
    <w:p>
      <w:r>
        <w:t>am 2 0. November 2018 unter Hinweis auf eine Omarthrose in der rechten Schulter bei der Invalidenversiche rung zum Leistungsbezug an (Urk. 7/3).</w:t>
      </w:r>
    </w:p>
    <w:p>
      <w:r>
        <w:t>Die Sozialversicherungsanstalt des Kan tons Zürich, IV-Stelle , tätigte erwerbliche und medizinische Abklärungen und verneinte nach durchgeführtem Vorbescheidverfahren (Urk. 7/21) am 11. Juni 2019 einen Leistungsanspruch des Versicherten (Urk. 2) .</w:t>
      </w:r>
    </w:p>
    <w:p>
      <w:r>
        <w:rPr>
          <w:b/>
        </w:rPr>
        <w:t>E. 2</w:t>
      </w:r>
    </w:p>
    <w:p>
      <w:r>
        <w:t>) .</w:t>
      </w:r>
    </w:p>
    <w:p>
      <w:r>
        <w:rPr>
          <w:b/>
        </w:rPr>
        <w:t>E. 2.1</w:t>
      </w:r>
    </w:p>
    <w:p>
      <w:r>
        <w:t>Die Beschwerdegegnerin begründete die angefochtene Verfügung (Urk. 2) damit, dass es dem Beschwerdeführer in den letzten sieben Jahren gesundheitsbedingt möglich gewesen wäre, eine angepasste erstmalige berufliche Ausbildung zu ab solvieren. Im Weiteren bestehe aufgrund des geringen Verdienstes seit de r</w:t>
      </w:r>
    </w:p>
    <w:p>
      <w:r>
        <w:t>ge sundheitlichen Einschränkung kein Anspruch auf eine Umschulung (S. 1).</w:t>
      </w:r>
    </w:p>
    <w:p>
      <w:r>
        <w:t>Mit Duplik (Urk. 11) beantragte die Beschwerdegegnerin demgegenüber die teil weise Gutheissung der Beschwerde im Sinne einer Rückweisung zur Neubeurtei lung des Anspruchs auf berufliche Massnahmen. Aufgrund der Aktenlage könne davon ausgegangen werden, dass der Beschwerdeführer seine erstmalige berufli che Ausbildung als Automobilfachmann EFZ aus gesundheitlichen Gründen (Schulterproblematik) nicht habe beenden könne n . D ie Tatsache allein , dass sich der Beschwerdeführer nach Abbruch der erstmaligen beruflichen Ausbildung nicht selbständig um eine neue Lehrstelle bemüht habe oder zu jenem Zeitpunkt die Unterstützung der Invalidenversicherung nicht in Anspruch genommen habe, könne nicht als Begründung für eine Beschwerdea b weisung dienen (S.</w:t>
      </w:r>
    </w:p>
    <w:p>
      <w:r>
        <w:rPr>
          <w:b/>
        </w:rPr>
        <w:t>E. 2.2</w:t>
      </w:r>
    </w:p>
    <w:p>
      <w:r>
        <w:t>D er Beschwerdeführer beantragte mit Beschwerde bzw. Replik ( Urk. 1, Urk. 9) die Zusprache von Leistungen der Invalidenversicherung und insbesondere von be ruflichen Massnahmen in Form von Berufsberatung und einer zweiten erstmali gen beruflichen Ausbildung. Er erklärte sich mit Eingabe vom 19. November 2019 (Urk. 14) mit der Rückweisung zur Neubeurteilung des Anspruchs auf berufliche Massnahmen einverstanden.</w:t>
      </w:r>
    </w:p>
    <w:p>
      <w:r>
        <w:rPr>
          <w:b/>
        </w:rPr>
        <w:t>E. 2.3</w:t>
      </w:r>
    </w:p>
    <w:p>
      <w:r>
        <w:t>Nachdem in Bezug auf die Rückweisung zur Neubeurteilung übereinstimmende Anträge (Urk. 11, Urk. 14) vorliegen und diese mit der Akten- und Rechtslage im Einklang stehen , ist die Beschwerde in</w:t>
      </w:r>
    </w:p>
    <w:p>
      <w:r>
        <w:t>dem Sinne gutzuheissen, dass die ange fochtene Verfügung vom 11. Juni 2019 (Urk. 2) aufzuheben und die Sache an die Beschwerdegegnerin zurückzuweisen ist , damit diese über den Leistungsanspruch des Beschwerdeführers neu verfüge.</w:t>
      </w:r>
    </w:p>
    <w:p>
      <w:r>
        <w:rPr>
          <w:b/>
        </w:rPr>
        <w:t>E. 3</w:t>
      </w:r>
    </w:p>
    <w:p>
      <w:r>
        <w:t>Die Beschwerdegegnerin wird verpflichtet, dem Beschwerdeführer eine Prozessentschä digung von Fr. 1’400 .-- (inkl. Barauslagen und MWSt ) zu bezahlen.</w:t>
      </w:r>
    </w:p>
    <w:p>
      <w:r>
        <w:rPr>
          <w:b/>
        </w:rPr>
        <w:t>E. 3.1</w:t>
      </w:r>
    </w:p>
    <w:p>
      <w:r>
        <w:t>Da es im vorliegenden Verfahren um die Bewilligung oder Verweigerung von Versicherungsleistungen geht, ist das Verfahren kostenpflichtig. Die Gerichtskos ten sind nach dem Verfahrensaufwand und unabhängig vom Streitwert festzule gen (Art. 69 Abs. 1 bis IVG) und auf Fr. 200.-- anzusetzen. Entsprechend dem Aus gang des Verfahrens sind sie der Beschwerdegegnerin aufzuerlegen.</w:t>
      </w:r>
    </w:p>
    <w:p>
      <w:r>
        <w:rPr>
          <w:b/>
        </w:rPr>
        <w:t>E. 3.2</w:t>
      </w:r>
    </w:p>
    <w:p>
      <w:r>
        <w:t>Nach ständiger Rechtsprechung gilt die Rückweisung der Sache an die Verwal tung zur weiteren Abklärung und neuen Verfügung als vollständiges Obsiegen (BGE 137 V 57 E. 2.2), weshalb der vertretene Beschwerdeführer Anspruch auf eine Prozessentschädigung hat , die ohne Rücksicht auf den Streitwert, nach der Bedeutung der Streitsache, der Schwierigkeit des Prozesses und dem Mass des Obsiegens (§ 34 Abs. 3 GSVGer ) zu bemessen und beim praxisgemässen Stun denansatz von Fr. 185.-- (zuzüglich Mehrwertsteuer) auf Fr. 1’400 .-- (inklusive Barauslagen und MWSt ) festzusetzen ist. Das Gericht erkennt: 1.</w:t>
      </w:r>
    </w:p>
    <w:p>
      <w:r>
        <w:t>Die Beschwerde wird in dem Sinne gutgeheissen, dass die angefochtene Verfügung vom 11. Juni 2019 aufgehoben und die Sache an die Sozialversicherungsanstalt des Kantons Zürich, IV-Stelle, zurückgewiesen wird, damit diese im Sinne der Erwägungen neu ver füge . 2.</w:t>
      </w:r>
    </w:p>
    <w:p>
      <w:r>
        <w:t>Die Gerichtskosten von Fr. 200 .-- werden der Beschwerdegegnerin auferlegt.</w:t>
      </w:r>
    </w:p>
    <w:p>
      <w:r>
        <w:t>Rechnung und Einzahlungsschein werden der Kostenpflichtigen nach Eintritt der Rechtskraft zu gestellt.</w:t>
      </w:r>
    </w:p>
    <w:p>
      <w:r>
        <w:rPr>
          <w:b/>
        </w:rPr>
        <w:t>E. 4</w:t>
      </w:r>
    </w:p>
    <w:p>
      <w:r>
        <w:t>.</w:t>
      </w:r>
    </w:p>
    <w:p>
      <w:r>
        <w:t>Zustellung gegen Empfangsschein an: - Y.___ - Sozialversicherungsanstalt des Kantons Zürich, IV-Stelle , unter Beilage eines Dop pels von Urk. 14 - Bundesamt für Sozialversicherungen sowie an: - Gerichtskasse (im Dispositiv nach Eintritt der Rechtskraft)</w:t>
      </w:r>
    </w:p>
    <w:p>
      <w:r>
        <w:rPr>
          <w:b/>
        </w:rPr>
        <w:t>E. 5</w:t>
      </w:r>
    </w:p>
    <w:p>
      <w:r>
        <w:t>.</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