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IV.2019.00376 vom 22. April 2020</w:t>
      </w:r>
    </w:p>
    <w:p>
      <w:r>
        <w:t>ZH Sozialversicherungsgericht, 2020-04-22, DE</w:t>
      </w:r>
    </w:p>
    <w:p>
      <w:r>
        <w:rPr>
          <w:b/>
        </w:rPr>
        <w:t xml:space="preserve">Quelle: </w:t>
      </w:r>
      <w:r>
        <w:t>https://mcp.opencaselaw.ch/entscheid/zh_sozialversicherungsgericht_IV.2019.00376</w:t>
      </w:r>
    </w:p>
    <w:p>
      <w:r>
        <w:t>FR: ZH_SOZIALVERSICHERUNGSGERICHT IV.2019.00376 du 22 avril 2020</w:t>
      </w:r>
    </w:p>
    <w:p>
      <w:r>
        <w:t>IT: ZH_SOZIALVERSICHERUNGSGERICHT IV.2019.00376 del 22 aprile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1963 geborene X.___ , Mutter zweier 1986 und 1992 geborener Kinder ,</w:t>
      </w:r>
    </w:p>
    <w:p>
      <w:r>
        <w:t>arbeitete zuletzt als Angestellte im Hausdienst des Pflegezentrums Y.___ , als sie am 11. Oktober 2004 stürzte und sich eine Kon tusion des rechten Handrüc kens zuzog (vgl. Urk. 7 /6/5). Aufgrund einer im Mai 2005 erfolgten Anmeldung bei der Eidgenössischen Invalidenve rsicherung (Urk. 7/2) tätigte die Sozialver siche rungsanstalt des Kantons Zürich, IV-Stelle, berufl ich-erwerbliche Abklärungen. Daraufhin verneinte sie mit Verfügung vom 26. Juli 2005 (Urk. 7 /11) einen Leis tungsanspruch der Versicherten. Auf deren Einsprache datierend vom 25. August 2005 ( Urk. 7/15 f.) hin tätigte die IV-Stelle weitere Abklärungen (Urk. 7 /20-21) . Insbesondere zog sie die Akten de r Unfallversicherung bei (Urk. 7 /25-28). Zwischenzei tlich meldete sich die Versicherte mit Datum vom 12. November 2005 bei der IV-Stelle erneut zum Leistungsbezug an (Urk. 7 /29). M it Entscheid vom 18. Dezember 2006 hielt die IV-Stelle an ihrem Standpunkt fest und wies</w:t>
      </w:r>
    </w:p>
    <w:p>
      <w:r>
        <w:t>das Leistungsbergehren der Versicherten ab ( Urk. 7 /47). Die 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