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IV.2019.00294 vom 7. April 2020</w:t>
      </w:r>
    </w:p>
    <w:p>
      <w:r>
        <w:t>ZH Sozialversicherungsgericht, 2020-04-07, DE</w:t>
      </w:r>
    </w:p>
    <w:p>
      <w:r>
        <w:rPr>
          <w:b/>
        </w:rPr>
        <w:t xml:space="preserve">Quelle: </w:t>
      </w:r>
      <w:r>
        <w:t>https://mcp.opencaselaw.ch/entscheid/zh_sozialversicherungsgericht_IV.2019.00294</w:t>
      </w:r>
    </w:p>
    <w:p>
      <w:r>
        <w:t>FR: ZH_SOZIALVERSICHERUNGSGERICHT IV.2019.00294 du 7 avril 2020</w:t>
      </w:r>
    </w:p>
    <w:p>
      <w:r>
        <w:t>IT: ZH_SOZIALVERSICHERUNGSGERICHT IV.2019.00294 del 7 aprile 2020</w:t>
      </w:r>
    </w:p>
    <w:p>
      <w:pPr>
        <w:pStyle w:val="Heading2"/>
      </w:pPr>
      <w:r>
        <w:t>Erwägungen</w:t>
      </w:r>
    </w:p>
    <w:p>
      <w:r>
        <w:rPr>
          <w:b/>
        </w:rPr>
        <w:t>E. 1</w:t>
      </w:r>
    </w:p>
    <w:p>
      <w:r>
        <w:t>2. Dezember 2017 meldete er sich aufgrund einer psychischen Störung und einer kognitiven Beeinträchtigung bei der Invalidenversicherung zum Leistungsbezug an ( Urk. 14/26). Die Sozialversi cherungsanstalt des Kantons Zürich, IV-Stelle, tätigte erwerbliche und medizini sche Abklärungen ( Urk. 14/30-44).</w:t>
      </w:r>
    </w:p>
    <w:p>
      <w:r>
        <w:t>Nach durchgeführtem Vorbescheidverfahren ( Urk. 14/35, Urk. 14/36 , Urk. 14/46, Urk. 14/51 ) verneinte die IV-Stelle mit Ver fügung vom 2 1. März 2019 ( Urk. 14/53 = Urk. 2) einen Anspruch des Versicher ten auf Leistungen der Invalidenversicherung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 gesetzes über die Invalidenversicherung (IVG) Versicherte, die: a.</w:t>
      </w:r>
    </w:p>
    <w:p>
      <w:r>
        <w:t>ihre Erwerbsfähigkeit oder die Fähigkeit, sich im Aufgabenbereich zu betä 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 tungs fak toren einerseits und von Kompensationspotentialen (Ressourcen) ande rerseits – erlauben, das tatsächlich erreichbare Leistungsvermögen einzu schätzen (BGE 141 V 281 E. 2, E. 3.4-3.6 und 4.1; vgl. statt vieler: Urteil des Bundesge richts 9C_590/2017 vom 15. Februar 2018 E. 5.1).</w:t>
      </w:r>
    </w:p>
    <w:p>
      <w:r>
        <w:rPr>
          <w:b/>
        </w:rPr>
        <w:t>E. 2</w:t>
      </w:r>
    </w:p>
    <w:p>
      <w:r>
        <w:t>1. Abs.</w:t>
      </w:r>
    </w:p>
    <w:p>
      <w:r>
        <w:rPr>
          <w:b/>
        </w:rPr>
        <w:t>E. 2.1</w:t>
      </w:r>
    </w:p>
    <w:p>
      <w:r>
        <w:t>Die Beschwerdegegnerin stellte sich in der angefochtenen Verfügung ( Urk. 2) auf den Standpunkt, trotz seit Kindheit bestehende r leichte r Intelligenzminderung und unreife r Persönlichkeitsstörung sei es dem Beschwerdeführer in der Ver gangenheit, von 1980 bis 1999, möglich gewesen, einer langjährigen Erwerbstä tigkeit bei der Firma Y.___ nachzugehen. Die von Dr. Z.___ be schriebenen Einschränkungen seien nicht klar nachvollziehbar. Pädophilie sei keine IV-relevante Erkrankung. Dem Beschwerdeführer sei eine Hilfstät igkeit zu mutbar. Die Stellensuche werde durch die begangenen Delikte und deren Konse quenzen erschwert, doch es handle sich dabei um IV-fremde Probleme (S. 2).</w:t>
      </w:r>
    </w:p>
    <w:p>
      <w:r>
        <w:rPr>
          <w:b/>
        </w:rPr>
        <w:t>E. 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w:t>
      </w:r>
    </w:p>
    <w:p>
      <w:r>
        <w:t>Meyer/ Reichmuth , Bundesgesetz über die Invalidenversicherung, 3. Auflage 2014, Rn 55 f. zu Art. 28a ).</w:t>
      </w:r>
    </w:p>
    <w:p>
      <w:r>
        <w:rPr>
          <w:b/>
        </w:rPr>
        <w:t>E. 5</w:t>
      </w:r>
    </w:p>
    <w:p>
      <w:r>
        <w:t>3 .</w:t>
      </w:r>
    </w:p>
    <w:p>
      <w:r>
        <w:t>Dem Beschwerdeführer ist es gemäss Beschluss vom 6. April 2017 des Bezirksge richts A.___ (E. 3.3) verboten, seinen jeweiligen Wohnort ohne Begleitung zu verlassen. Wie vom Beschwerdeführer ausgeführt ( Urk. 1 S. 7 N. 25) , ist dieses Verbot dahingehend zu verstehen, dass der Beschwerdeführer einer Begleitung für den Arbeitsweg bedürfte und am Arbeitsort ohne Unterbruch überwacht wer den müsste .</w:t>
      </w:r>
    </w:p>
    <w:p>
      <w:r>
        <w:t>Auch eine gesunde Person könnte unter diesen Bedingungen selbst bei ausgeglichener Arbeitsmarktlage</w:t>
      </w:r>
    </w:p>
    <w:p>
      <w:r>
        <w:t>ihre</w:t>
      </w:r>
    </w:p>
    <w:p>
      <w:r>
        <w:t>Arbeitsfähigkeit auf dem ersten Arbeits markt nicht umsetzen. Von einer Arbeitsgelegenheit kann gemäss bundesgericht licher Rechtsprechung dann nicht mehr gesprochen werden, wenn die zumutbare Tätigkeit nunmehr in so eingeschränkter Form möglich wäre, dass sie der ausge glichene Arbeitsmarkt praktisch nicht kennt oder sie nur unter nicht realistischem Entgegenkommen eines durchschnittlichen Arbeitsgebers möglich wäre und das Finden einer entsprechenden Stelle daher von vorherein als ausgeschlossen er scheint (Urteil des Bundesgerichts 8C_1050/2009 vom 2 8. April E. 3.3). D ie Bei ständin des Beschwerdeführers ist gemäss einer bei den Akten liegenden Telefon notiz vom 5. November 2018 ( Urk. 14/43) der Ansicht, dass selbst Eingliede rungsmassnahmen aufgrund des Massnahme n regimes nicht in Betracht fallen würden . Es trifft zwar – wie geltend gemacht ( Urk. 19 S. 2) – zu, dass der Be schwerdeführer auch in der Fähigkeit, Selbstsorge zur tragen, krankheitsbedingt eingeschränkt ist ( Urk. 20 S. 57) und deshalb Betreuung bedarf. Die spezifischen strafrechtlichen</w:t>
      </w:r>
    </w:p>
    <w:p>
      <w:r>
        <w:t>Massnahmen, welche ihm eine Erwerbstätigkeit zumindest auf dem ersten Arbeitsmarkt auch im Gesundheitsfall nicht erlauben würden, sind jedoch einzig darauf ausgerichtet, seiner Sozialgefährlichkeit , der von ihm aus gehenden mittleren bis hohen Rückfallgefahr für sexuelle Handlungen mit Kin dern ( Urk. 20 S. 66) , zu begegnen. Eine Behandlungskomponente haben diese Massnahmen – das Gebot der dauernden Begleitung ausserhalb seines Wohnorts – nicht.</w:t>
      </w:r>
    </w:p>
    <w:p>
      <w:r>
        <w:t>Aus diesen Überlegungen ergibt sich, dass der Beschwerdefüh r er auch im Ge sundheitsfall seit seiner Entlassung aus der Sicherheitshaft keinen Verdienst er zielen könnte, dass sein Valideneinkommen somit Fr. 0.</w:t>
      </w:r>
    </w:p>
    <w:p>
      <w:r>
        <w:t>beträgt . Bei einem Va lideneinkommen</w:t>
      </w:r>
    </w:p>
    <w:p>
      <w:r>
        <w:t>von Fr. 0. ergibt sich ungeachtet der Einschränkung in der Ar beitsfähigkeit ein Invaliditätsgrad von 0 % .</w:t>
      </w:r>
    </w:p>
    <w:p>
      <w:r>
        <w:rPr>
          <w:b/>
        </w:rPr>
        <w:t>E. 5.2</w:t>
      </w:r>
    </w:p>
    <w:p>
      <w:r>
        <w:t>.1</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 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w:t>
      </w:r>
    </w:p>
    <w:p>
      <w:r>
        <w:rPr>
          <w:b/>
        </w:rPr>
        <w:t>E. 5.4</w:t>
      </w:r>
    </w:p>
    <w:p>
      <w:r>
        <w:t>Zu erwähnen bleibt, dass dieses Ergebnis auch mit der Zielsetzung von Art. 21 Abs. 4 ATSG im Einklang steht, der eine Sistierung von Geldleistungen mit Er werbsersatzcharakter während eines Straf- und Massnahmevollzugs vorsieht, um damit eine Gleichbehandlung von invaliden und validen Person en zu gewährleis ten, die durch den Freiheitsentzug ihr Einkommen verlier en . Für die Sistierung ist rechtsprechungsgemäss einzig die Frage massgebend, ob der konkrete Vo llzug eine Erwerbstätigkeit zulässt oder nicht (vgl. BGE 137 V 154). Der vorliegende Fall betrifft zwar die Zusprache einer Invalidenrente, doch ist dem Gleichbehand lung s gebot auch hier Rechnung zu tragen und zu berücksichtigen, dass eine ge sunde Person unter dem Regime der betreffend den Beschwerdeführer angeord neten Massnahme ebenfalls kein Erwerbseinkommen generieren könnte.</w:t>
      </w:r>
    </w:p>
    <w:p>
      <w:r>
        <w:rPr>
          <w:b/>
        </w:rPr>
        <w:t>E. 6</w:t>
      </w:r>
    </w:p>
    <w:p>
      <w:r>
        <w:t>Aufgrund dieser Überlegungen ist nicht zu beanstanden, dass die Beschwerde gegnerin mit der angefochtenen Verfügung vom 2 1. März 2019 ( Urk. 2) einen Anspruch des Beschwerdeführers auf eine Invalidenrente verneinte, weshalb die Beschwerde abzuweisen ist.</w:t>
      </w:r>
    </w:p>
    <w:p>
      <w:r>
        <w:rPr>
          <w:b/>
        </w:rPr>
        <w:t>E. 7</w:t>
      </w:r>
    </w:p>
    <w:p>
      <w:r>
        <w:t>. 2</w:t>
      </w:r>
    </w:p>
    <w:p>
      <w:r>
        <w:t>Rechtsanw ältin</w:t>
      </w:r>
    </w:p>
    <w:p>
      <w:r>
        <w:t>Nadja</w:t>
      </w:r>
    </w:p>
    <w:p>
      <w:r>
        <w:t>Hirzel ist nach Ermessen (vgl. Urk. 1 5 ) mit Fr. 2 ‘ 2 00 .-- (in klusive Barauslagen und Mehrwertsteuer) aus der Gerichtskasse zu entschädigen. Das Gericht erkennt :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Nadja Hir zel, wird mit Fr. 2’200 .-- (inkl. Barauslagen und MWSt) aus der Gerichtskasse ent schä digt. Der Beschwerdeführer wird auf die Nachzahlungspflicht gemäss § 16 Abs. 4 GSVGer hingewiesen. 4.</w:t>
      </w:r>
    </w:p>
    <w:p>
      <w:r>
        <w:t>Zustellung gegen Empfangsschein an: - Rechtsanwältin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