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IV.2019.00240 vom 20. Mai 2020</w:t>
      </w:r>
    </w:p>
    <w:p>
      <w:r>
        <w:t>ZH Sozialversicherungsgericht, 2020-05-20, DE</w:t>
      </w:r>
    </w:p>
    <w:p>
      <w:r>
        <w:rPr>
          <w:b/>
        </w:rPr>
        <w:t xml:space="preserve">Quelle: </w:t>
      </w:r>
      <w:r>
        <w:t>https://mcp.opencaselaw.ch/entscheid/zh_sozialversicherungsgericht_IV.2019.00240</w:t>
      </w:r>
    </w:p>
    <w:p>
      <w:r>
        <w:t>FR: ZH_SOZIALVERSICHERUNGSGERICHT IV.2019.00240 du 20 mai 2020</w:t>
      </w:r>
    </w:p>
    <w:p>
      <w:r>
        <w:t>IT: ZH_SOZIALVERSICHERUNGSGERICHT IV.2019.00240 del 20 maggio 2020</w:t>
      </w:r>
    </w:p>
    <w:p>
      <w:pPr>
        <w:pStyle w:val="Heading2"/>
      </w:pPr>
      <w:r>
        <w:t>Erwägungen</w:t>
      </w:r>
    </w:p>
    <w:p>
      <w:r>
        <w:rPr>
          <w:b/>
        </w:rPr>
        <w:t>E. 1</w:t>
      </w:r>
    </w:p>
    <w:p>
      <w:r>
        <w:t>/48-58) wies die IV-Stelle das Leistungsbegeh ren mit Verfügung vom 2 6. September 2014 ( Urk. 11/59 ) ab. Die Beschwerde der Versicherten gegen diesen Entscheid wies das Sozialversicherungsgericht des Kantons Zürich mit unangefochten in Rechtskraft erwachsenem Urteil IV.201</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w:t>
      </w:r>
    </w:p>
    <w:p>
      <w:r>
        <w:t>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verneinte den Anspruch auf eine Invalidenrente in der angefochtenen Verfügung vom 1 3. März 2019 mit der Begründung, dass die Beschwerdeführerin gemäss den med izinischen Abklärungen in ihrer angestamm ten Tätigkeit als Filialleiterin zu 80 % und einer angepassten Tätigkeit zu 100 % arbeitsfähig sei. Es bestehe aufgrund der vollen Arbeitsfähigkeit in einer ange passten Tätigkeit auch keine gesundheitsbedingte Einschränkung in der Stellen suche, weshalb kein Anspruch auf berufliche Massnahmen bestehe ( Urk. 2). 2.2</w:t>
      </w:r>
    </w:p>
    <w:p>
      <w:r>
        <w:t>Dagegen w endet die Beschwerdeführerin in der Beschwerde vom 2 8. März 2019 ( Urk. 1) im Wesentlichen ein, dass die medizinische Abklärung Inkonsistenzen ergeben habe, welche auf der Vorgehensweise der Beschwerdegegnerin beruhen würden. So seien zwei bidisziplinäre Begutachtungen anstatt einer polydiszipli nären Abklärung in Auftrag gegeben worden, weshalb es an einer Gesamtbeur teilung fehle. Die onkologische Situation bleibe zudem ungeklärt, da die Beschwerde gegnerin nicht auf das entsprechende Fachgutachten abgestellt ha be . Somit müsse der rechtserhebliche Sachverhalt zunächst umfassend abgeklärt wer den, bevor über die Rentenansprüche entschieden werden könne ( Urk. 1 S. 2 f.). 2.3</w:t>
      </w:r>
    </w:p>
    <w:p>
      <w:r>
        <w:t>Zu Recht unbestritten ist zwischen den Parteien, dass die Beschwerdegegnerin auf die Neuanmeldung der Beschwerdeführerin vom 1. Dezember 2016 eingetre ten ist, nachdem den nach der Neuanmeldung eingereichten medizinischen Berichten zu entnehmen war, dass sich die Beschwerdeführerin im September 2015 bei einer nunmehr bekannten BRCA-1-Mutation einer Hysterektomie und einer Ovarektomie und nach Auftreten eines Rezidivs des Mammakarzinoms rechts im April 2016 einer Masektomie beidseits mit Sofortrekonstruktion und einer adjuvanten Chemotherapie unterzogen hat ( Urk. 11/81-83). Str it tig und zu prüfen ist dagegen , ob der medizinische Sachverhalt rechtsgenüg lich abgeklärt wurde und ob die Beschwerdeführerin Anspruch auf Leistungen der Invalidenversicherung hat. 3. 3.1</w:t>
      </w:r>
    </w:p>
    <w:p>
      <w:r>
        <w:t>Vorweg stellt sich die Frage, ob in formeller Hinsicht die freihändige Auftrags vergabe der beiden bidisziplinären Gutachten an die Z.___</w:t>
      </w:r>
    </w:p>
    <w:p>
      <w:r>
        <w:t>rechtens war. 3.2</w:t>
      </w:r>
    </w:p>
    <w:p>
      <w:r>
        <w:t>Die Beschwerdegegnerin</w:t>
      </w:r>
    </w:p>
    <w:p>
      <w:r>
        <w:t>gab am 1 7. April 2018 der Z.___ d en Auftrag zur Erstellung eines bidisziplinären Gutachtens mit den Fachrichtungen Onkolo gie und Psychiatrie (vgl. Urk. 11/110/1) . Die Beschwerdeführerin wurde im Rahmen dieses Auftrags am 4. Juni 2018 psychiatrisch von Dr. med. univ. B.___ , Facharzt Psychiatrie und Psychotherapie, und am 6. Juni 2018 onko logisch von PD Dr. Dr. med. C.___ , Facharzt für Innere Medizin FMH spezialisiert auf Hämatologie , Medizinische Onkolo gie/Hämato logie/Palliativ - medizin, untersucht ( Urk. 11/117) . Daraufhin wurde die Beschwerdegegnerin von der Z.___</w:t>
      </w:r>
    </w:p>
    <w:p>
      <w:r>
        <w:t>am 8. Juni 2018 darauf hingewie sen, dass auch eine neurologische und eine orthopädische Begutachtung für not wendig erachtet werde, woraufhin gleichentags ein zweiter Auftrag zur Erstat tung eines weiteren bidisziplinären Gutachtens durch die Beschwerdeführerin direkt an die Z.___ erteilt wurde ( Urk. 11/112 , Urk. 11/118/1 ) . Im Rah men dieses zweiten Auftrages wurde die Beschwerdeführerin am 1 2. Juli 2018 neurologisch von Dr. med. D.___ , Facharzt Neurologie, und gleichentags auch orthopädisch von Dr. med. E.___ , Facharzt Orthopädische Chirurgie FMH, untersucht ( Urk. 11/118/2). Beide bidisziplinäre n Gutachten wurden am 6. September 2018 erstattet, wobei sie als zwei voneinander unabhängige bidis ziplinäre Gutachten gestaltet wurden. 3.3</w:t>
      </w:r>
    </w:p>
    <w:p>
      <w:r>
        <w:t>Unbestrittenermassen kündigte die Beschwerdegegnerin der Beschwerdeführerin die erste bidisziplinäre Begutachtung vorschriftsgemäss mit Schreiben vom 4. April 2018 an ( Urk. 11/107) und diese blieb von der Beschwerdeführerin un bea n standet. Der Verzicht auf eine Vergabe d ieses ersten Auft r ags nach dem Zufallsprinzip ( Art. 72 bis</w:t>
      </w:r>
    </w:p>
    <w:p>
      <w:r>
        <w:t>Abs. 2 IVV) war daher im Lichte der diesbezüglichen geltenden Rechtssprechungsgrundsätze zulässig. Wie das Bundesgericht in BGE</w:t>
      </w:r>
    </w:p>
    <w:p>
      <w:r>
        <w:t>139 V 349 (E. 3.3 S. 352 f.) festgestellt hat, wäre es mit der Gutachterpflicht (Verantwortung für die fachliche Koordination im Sinne der fachlichen Qualität, Vollständigkeit und Wirtschaftlichkeit der Abklärung) indes nicht vereinbar, wenn den Sachverständigen eine Disziplinenwahl gleichsam aufgezwungen wer den könnte, die sie - auch nach pflichtgemässer Würdigung der für den Auftrag leitenden Über legungen - für (versicherungs-) medizinisch nicht vertretbar hiel ten. Den Gutachtern muss es daher freistehen, die von der IV-Stelle beziehungs weise dem RAD (oder im Beschwerdefall durch ein Gericht) bezeichneten Fach disziplinen gegenüber der Auftraggeberin zur Diskussion zu stellen, wenn ihnen die Vorgaben nicht einsichtig sind. Dass die begutachtenden Ärzte der medizini schen Abklärungsstelle Z.___ auf Grund der psychiatrischen und onko logischen Untersuchung zum Schluss gelangt sind, es seien zusätzlich orthopädi sche und neurologische Abklärungen indiziert, und diese nach Rücksprache und im Auftrag mit der Beschwerdegegnerin in der Folge durchgeführt haben, lässt sich der Beschwerdegegnerin somit nicht entgegenhalten (Urteil des Bundesge richts 8C_680/2014 vom 1 6. März 2015 E. 5.2.2) .</w:t>
      </w:r>
    </w:p>
    <w:p>
      <w:r>
        <w:t>Auch die zweite bidisziplinäre Begutachtung wurde der Beschwerdeführerin mit Schreiben vom 8. Juni 2018 angezeigt ( Urk. 11/114) und ausdrücklich auf die Möglichkeit zur Vorbringen von Einwendungen gegen die Gutachter und Einrei chen von Zusatzfragen hingewiesen ( Urk. 11/114/2). Das rechtliche Gehör der Beschwerdeführerin wurde somit nicht verletzt.</w:t>
      </w:r>
    </w:p>
    <w:p>
      <w:r>
        <w:t>Anhaltspunkte für eine bewusste Umgehung des zufallsbasierten Zuweisungssys tems der medizinischen Abklärungsstelle für polydisziplinäre Gutachten sind nicht erkennbar. 3. 4</w:t>
      </w:r>
    </w:p>
    <w:p>
      <w:r>
        <w:t>In Folge wurde jedoch nicht ein polydisziplinäres Gutachten erstellt, sondern zwei voneinander unabhängige bidisziplinäre Gutachten erstattet (anders im Urteil des Bundesgerichts 8C_680/2014 vom 1 6. März 2015) .</w:t>
      </w:r>
    </w:p>
    <w:p>
      <w:r>
        <w:t>D ie Beschwerdeführerin macht in diesem Zusammenhang denn auch geltend, dass es aufgrund dieses Vorgehens zu materiellen Inkonsistenzen gekommen sei und es an einer Gesamt beurteilung fehle. Es ist daher zu prüfen, ob die bidisziplinären Gutachten d ie Anforderungen an den Beweiswert eines medizinischen Gutachtens (vgl. E. 1.5 vorstehend) erfüllen. 3. 4 .1</w:t>
      </w:r>
    </w:p>
    <w:p>
      <w:r>
        <w:t>Tatsächlich wurden beide bidisziplinäre n Gutachten unabhängig voneinander verfasst (obschon sie am selben Tag versandt wurden) und es findet sich keine Gesamtbeurteilung unter Einbezug aller vier Fachdisziplinen. Doch bereits die bidisziplinäre Gesamtbeurteilung des psychiatrisch-onkologischen Gutachtens erweist sich als mangelhaft. Zwar befolgt deren Aufbau grundsätzlich die Vorga ben gemäss Kreisschreiben über das Verfahren in der Invalidenversicherung (KSVI, Anhang VIII), es findet aber k eine Auseinandersetzung mit den auseinan derlaufenden Befunden und Einschätzungen zwischen den Fachdisziplinen statt. So wird in der Konsensbeurteilung festgehalten, dass die von der Beschwerdefüh rerin geschilderte reduzierte Durchhaltefähigkeit und Belastbarkeit, ausgeprägte Müdigkeit und die massive n Schmerzen aus psychiatrischer Sicht im Rahmen einer chronischen Anpassungsstörung sowie einer chronischen Schmerzstörung gesehen w ü rden, während von onkologischer Seite dieselben Beschwerden einer tumorassoziierten Fatigue zugeordnet w u rden ( Urk. 11/117/4) , ohne aus dieser Differenz weitere Schlüsse zu ziehen , obschon deutlich auseinanderlaufende Arbeitsunfähigkeit sgrade (onkologisch: 100 % , psychiatrisch: 20 % ) gestützt auf eben diese Diagnosen attestiert w u rden ( Urk. 11/117/5) . Auch unter dem Punkt der Konsistenzprüfung lässt sich eine Auseinandersetzung mit den verschiedenen Einschätzungen der Fachgutachter nicht finden. Vielmehr wurde lediglich im Sinne einer Zusammenfassung dargelegt, dass aus psychiatrischer Sicht Anhalts punkte für eine teils nicht-authentische Beschwerdeschilderung gefunden worden seien , während sich aus onkologischer Sicht keine Hinweise auf Inkonsistenzen ergeben hätten ( Urk. 11/117/5). Eine kritische Diskussion der onkologischen Befunde wäre aufgrund des in der psychiatrischen Exploration erhobenen Ver dachts auf eine nicht-authentische Beschwerdeschilderung indes umso mehr geboten gewesen. Da auch anlässlich der zweiten bidisziplinären Begutachtung mehrfache Hinweise auf Inkonsistenzen, demonstratives und teilweise aggravie rendes Verhalten festgehalten wurde ( Urk. 11/118/6, Urk. 11/118/19 , Urk. 11/118/27) , wäre eine Gesamtbeurteilung sämtlicher Fachdisziplinen zwin gend erforderlich, um die gestellten Diagnosen unter Rücksicht einer gesamthaf ten Konsistenzprüfung zu werten gewesen . Eine Aggravation, welche einen inva lidisierenden Gesundheitsschaden ausschliesst (vgl. anstatt Vieler Urteil des Bundesgerichts 9C_899/2014 vom 2 9. Juni 2015 E. 4.2.1.f.) , wurde dabei jedoch weder in den Gutachten noch von der Beschwerdegegnerin angenommen. Eben falls ungeklärt bleibt durch das Fehlen einer polydisziplinären Gesamtbeurteilung</w:t>
      </w:r>
    </w:p>
    <w:p>
      <w:r>
        <w:t>die Frage möglicher Wechselwirkungen zwischen den Diagnosen beider bidis ziplinärer Gutachten, welche einen Einfluss auf die Wertung der Gesamtarbeits fähigkeit haben könnten. 3. 4 .2</w:t>
      </w:r>
    </w:p>
    <w:p>
      <w:r>
        <w:t>Die Beschwerdegegnerin hat nach Empfehlung von RAD-Ärztin Dipl.-Med.</w:t>
      </w:r>
    </w:p>
    <w:p>
      <w:r>
        <w:t>A.___</w:t>
      </w:r>
    </w:p>
    <w:p>
      <w:r>
        <w:t>aufgrund diese r</w:t>
      </w:r>
    </w:p>
    <w:p>
      <w:r>
        <w:t>im psychiatrische n , orthopädische n und neurologischen Fachgutachten festgestellten Inkonsistenzen, welche im onkologischen Gutachten jedoch keinen Eingang fanden, in der angefochtenen Verfügung nicht auf das onkologische Fachgutachten ab gestellt . Demnach sei gemäss Dipl.-Med. A.___</w:t>
      </w:r>
    </w:p>
    <w:p>
      <w:r>
        <w:t>die Beschwerdeführerin aktuell tumorfrei und auf die Schilderung der Symptome de r Fatigue könne bei der zur Verdeutlichung neigenden Beschwerdeführerin nicht abgestellt werden ( Urk. 11/122/10) . In einer weiteren Stellungnahme von Dipl.-Med.</w:t>
      </w:r>
    </w:p>
    <w:p>
      <w:r>
        <w:t>A.___ äusserte diese zudem, dass die Ausführungen des onkologi schen Gutachters nicht neutral gewesen seien und die Diagnosestellung einzig auf der subjektive n Beurteilung durch die Beschwerdeführerin selbst beruhe ( Urk. 11/122/12). Selbst wenn diese Beanstandungen an das onkologische Fach gutachten begründet wären, kann das Nichtabstellen auf das onkologische Gut achten nicht zu einem automatischen Ausschluss möglicher onkologisch-bedingte r Gesundheitsschäden führen. Zwar ist das Nichtabstellen auf ein Fachgutachten grundsätzlich möglich, doch lässt die Beschwerdegegnerin bei ihrem Hinweis in der Beschwerdeantwort auf Urteil IV.2012.01073 des Sozialver sicherungsgericht Zürich vom 2 8. Februar 2014 ( Urk. 10) unbeachtet, dass in jenem Fall eine verlässliche Beurteilung des Leistungsanspruchs aufgrund der weiteren vorhanden medizinischen Unterlagen möglich war. Vorliegend vermö gen die Ausführungen von RAD-Ärztin Dipl.-Med. A.___ , wonach keine onkologisch begründeten Einschränkungen vorlägen ,</w:t>
      </w:r>
    </w:p>
    <w:p>
      <w:r>
        <w:t>jedoch nicht abschliessend zu überzeugen oder gar eine polydisziplinäre Konsensbeurteilung zu ersetzen , so ist sie Fachärztin für Innere Medizin , Prävention und Gesundheitswesen , und ver fügt demnach über keine Spezialisierung in Onkologie. Ein Abstellen auf die rest liche Aktenlage ergibt sodann ebenfalls keine ausreichende Grundlage für den Ausschluss tumorassoziierter Gesundheitsschäden. Gemäss Bericht der Klinik für Gynäkologie des Universitätsspitals F.___ vom 2 7. Februar 2018 seien körperli che Einschränkungen aufgrund wiederholter Therapien, Operationen und der Notwendigkeit häufiger Kontrollen und der psychischen Belastungssituation im Rahmen der rezidivierenden Krebserkrankung vorhanden. Eine Präzisierung der Einschränkung der Arbeitsfähigkeit konnte jedoch nicht getätigt werden ( Urk. 11/105/2). Die vor Erstattung der Gutach t en vorliegenden Arztberichte lassen damit ebenfalls keine abschliessende Einschätzung zum Leistungsvermögen der Beschwerdeführerin zu. Zu eben diese r Schlussfolgerung gelangte auch Dipl.- M ed. A.___ noch am 2 1. März 2018 und war überhaupt erst Auslöser für die Auftragsvergabe eines onkologischen Fachgutachtens durch die Beschwerde gegnerin ( Urk. 11/122/8) .</w:t>
      </w:r>
    </w:p>
    <w:p>
      <w:r>
        <w:t>Zu folgen ist hierbei zudem den Einwendungen der Beschwerdeführerin, wonach es die Beschwerdegegnerin unterlassen habe, dem onkologischen Fachgutachter weitere Ergänzungsfragen zu stellen ( Urk. 1 S. 2) oder aber weitere onkologische Abklärungen durchzuführen , zu welchen sie im Rahmen des Untersuchungsgrundsatzes vorliegend verpflichtet gewesen wäre.</w:t>
      </w:r>
    </w:p>
    <w:p>
      <w:r>
        <w:t>Dass das Vorliegen einer beweiswertigen onkologischen Beurteilung gerade beim Vorliegen eines Verdachts auf eine krebsbedingte Fatigue unabdingbar ist, folgt zudem aus dem Umstand, dass es sich bei diesem Krankheitsbild um ein multidi mensionales Syndrom handelt, unter dem die Mehrheit der Krebspatientinnen und – patienten während der Therapie leidet und welches teilweise viele Jahre nach Therapieabschluss andauert. Definitionsbedingt tritt diese Form der Fatigue zwingend in Zusammenhang mit einer Krebserkrankung auf. Ein Hinweis auf die Einordnung in die somatoformen Störungen findet sich in der medizinischen Literatur nicht. Damit grenzt sich die tumorassoziierte Fatigue gemäss höchst richterlicher Rechtsprechung denn auch klar vom Chronic Fatigue Syndrome ( CFS ; ICD-10 G93.3) als eigenständiges Krankheitsbild ab, liegt ihr doch als Begleitsymptom onkologischer Erkrankungen zumindest mittelbar eine organi sche Ursache zugrunde (vgl. BGE 139 V 346 E. 3.2 ff. mit diversen Hinweisen auf die medizinische Fachliteratur). 3.5</w:t>
      </w:r>
    </w:p>
    <w:p>
      <w:r>
        <w:t>Ebenfalls nicht nachvollziehbar ist die von der Beschwerdegegnerin angenom mene Arbeitsfähigkeit von 100 % in einer angepassten Tätigkeit, welche wohl auf die Stellungnahme des RAD vom 1 3. September 2018 zurückzuführen ist, in wel cher in zusammenfassender Form die Arbeitsunfähigkeit gemäss bidisziplinären Gutachten festgehalten wurde ( Urk. 11/122/9). Entgegen der dort notierten 100%igen Arbeitsfähigkeit in einer angepassten Tätigkeit aus psychiatrischer Sicht, hat Dr. B.___ im psychiatrischen Fachgutachten jedoch eine 80%ige Arbeitsfähigkeit in angepasster Tätigkeit gestützt auf den vermehrten Pausenbe darf aufgrund der chronischen Schmerzstörung und der Anpassungsstörung und der damit einhergehenden Reduktion der Widerstands- und Durchhaltefähigkeit beziehungsweise Leistungsfähigkeit attestiert ( Urk. 11/117/24). Ausführungen zu einer bewussten Abweichung von dieser Einschätzung seitens der Beschwerde gegnerin sind keine zu finden, weshalb davon ausgegangen werden kann, dass die Beschwerdeführerin hierbei gestützt auf die fehlerhafte Zusammenfassung des RAD agierte. 3. 6</w:t>
      </w:r>
    </w:p>
    <w:p>
      <w:r>
        <w:t>Zusammenfassend ist weder aufgrund der beiden bidisziplinären</w:t>
      </w:r>
    </w:p>
    <w:p>
      <w:r>
        <w:t>Z.___ -Gutachten noch der restlichen Aktenlage rechtsgenüglich erstellt, an welchen Erkrankungen die Beschwerdeführerin leidet und wie sich diese auf die Arbeits fähigkeit im entscheidrelevanten Zeitraum auswirken. Der massgebliche Sachver halt erweist sich damit als ungenügend abgeklärt.</w:t>
      </w:r>
    </w:p>
    <w:p>
      <w:r>
        <w:t>4 .</w:t>
      </w:r>
    </w:p>
    <w:p>
      <w:r>
        <w:t>Da ein abschliessender materieller Entscheid gestützt auf die vorhandenen medi zinischen Akten nicht möglich ist, ist die angefochtene Verfügung vom 1 3. März 2019 ( Urk. 2) aufzuheben und die Sache zur Vornahme geeigneter Abklärungen in Form eines polydisziplinären Gutachtens mit zumindest den Disziplinen Onkologie, Psychiatrie und Neurologie, und zum erneuten Entscheid über den Leistungsanspruch der Beschwerdeführerin an die Beschwerdegegnerin zurück zuweisen. In diesem Sinne ist die Beschwerde gutzuheissen. 5 .</w:t>
      </w:r>
    </w:p>
    <w:p>
      <w:r>
        <w:t>5 .1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Nach ständiger Rechtsprechung gilt die Rückweisung der Sache an die Verwaltung zur weiteren Abklärung und neuen Verfügung als vollständiges Obsiegen der Beschwerde führenden Partei (BGE 137 V 57 E. 2.1 mit Hinweisen). Entsprechend sind die Kosten der unterliegenden Beschwerdegegnerin aufzuerlegen. 5 .2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w:t>
      </w:r>
    </w:p>
    <w:p>
      <w:r>
        <w:t>Mangels Vorliegens einer Honorarnote ist die Prozessentschädigung ermessensweise festzusetzen. Unter Berücksichtigung der massgebenden Kriterien hat die Beschwerd egegnerin der Beschwerdeführerin eine Parteientschädigung in der Höhe von Fr. 2’5 00 .-- (inkl. Barauslagen und Mehrwertsteuer) zu bezahlen .</w:t>
      </w:r>
    </w:p>
    <w:p>
      <w:r>
        <w:t>Die Entschädigung ist dem unentgeltlichen Rechtsbeistand auszuzahlen (Urteil des Bundesgerichts 5A_754/2013 vom 4. Februar 2014 E. 5). Das Gericht erkennt: 1.</w:t>
      </w:r>
    </w:p>
    <w:p>
      <w:r>
        <w:t>Die Beschwerde wird in dem Sinne gutgeheissen, dass die angefochtene Verfügung vom 1 3. März 2019 aufgehoben und die Sache an die Sozialversicherungsanstalt des Kantons Zürich, IV-Stelle, zurückgewiesen wird, damit diese, nach erfolgter Abklärung im Sinne der Erwägungen, über den Rentenanspruch der Beschwerdeführerin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dem unentgeltlichen Rechtsvertreter der Beschwerdeführerin, Rechtsanwalt Dr. Kreso Glavas, Zürich, eine Prozessentschädigung von Fr. 2’500 .-- (inkl. Barauslagen und MWSt)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r>
        <w:rPr>
          <w:b/>
        </w:rPr>
        <w:t>E. 4</w:t>
      </w:r>
    </w:p>
    <w:p>
      <w:r>
        <w:t>.0 1101 vom 2 5. November 2015 ab ( Urk. 11/71 ).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