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IV.2019.00073 vom 27. Mai 2019</w:t>
      </w:r>
    </w:p>
    <w:p>
      <w:r>
        <w:t>ZH Sozialversicherungsgericht, 2019-05-27, DE</w:t>
      </w:r>
    </w:p>
    <w:p>
      <w:r>
        <w:rPr>
          <w:b/>
        </w:rPr>
        <w:t xml:space="preserve">Quelle: </w:t>
      </w:r>
      <w:r>
        <w:t>https://mcp.opencaselaw.ch/entscheid/zh_sozialversicherungsgericht_IV.2019.00073</w:t>
      </w:r>
    </w:p>
    <w:p>
      <w:r>
        <w:t>FR: ZH_SOZIALVERSICHERUNGSGERICHT IV.2019.00073 du 27 mai 2019</w:t>
      </w:r>
    </w:p>
    <w:p>
      <w:r>
        <w:t>IT: ZH_SOZIALVERSICHERUNGSGERICHT IV.2019.00073 del 27 maggio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 und zuletzt tätig als Servicemitarbeiterin , meldete sich erstmals am 8. März 1996 (Eingangsdatum) bei der eidgenössischen Inva lidenversicherung zum Leistungsbezug an ( Urk. 16/1). Mit Verfügungen vom 8. und 2 6. September 1996 ( Urk. 16/22; Urk. 16/23) wurde das Leistungsbegehren abgewiesen, da die Versicherte wieder eine Tätigkeit als Servicemitarbeiterin aufgenommen hatte.</w:t>
      </w:r>
    </w:p>
    <w:p>
      <w:r>
        <w:t>Am 2. Oktober 2002 (Eingangsdatum) meldete sich die Versicherte erneut bei der eidgenössischen Invalidenversicherung zum Leistungsbezug an ( Urk. 16/25). Die Sozialversicherungsanstalt des Kantons Zürich, IV-Stelle, tätigte erwerblic he und medizinische Abklärungen und verneinte mit Verfügung vom 1 2. März 2003 einen Ans pruch auf berufliche Massnahmen ( Urk. 16/45) . Mit Verfügung en vom 1 2. Juli und 1 3. August 2004 sprach die IV-Stelle der Versicherten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