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IV.2019.00025 vom 20. März 2019</w:t>
      </w:r>
    </w:p>
    <w:p>
      <w:r>
        <w:t>ZH Sozialversicherungsgericht, 2019-03-20, DE</w:t>
      </w:r>
    </w:p>
    <w:p>
      <w:r>
        <w:rPr>
          <w:b/>
        </w:rPr>
        <w:t xml:space="preserve">Quelle: </w:t>
      </w:r>
      <w:r>
        <w:t>https://mcp.opencaselaw.ch/entscheid/zh_sozialversicherungsgericht_IV.2019.00025</w:t>
      </w:r>
    </w:p>
    <w:p>
      <w:r>
        <w:t>FR: ZH_SOZIALVERSICHERUNGSGERICHT IV.2019.00025 du 20 mars 2019</w:t>
      </w:r>
    </w:p>
    <w:p>
      <w:r>
        <w:t>IT: ZH_SOZIALVERSICHERUNGSGERICHT IV.2019.00025 del 20 marzo 2019</w:t>
      </w:r>
    </w:p>
    <w:p>
      <w:pPr>
        <w:pStyle w:val="Heading2"/>
      </w:pPr>
      <w:r>
        <w:t>Erwägungen</w:t>
      </w:r>
    </w:p>
    <w:p>
      <w:r>
        <w:rPr>
          <w:b/>
        </w:rPr>
        <w:t>E. 1</w:t>
      </w:r>
    </w:p>
    <w:p>
      <w:r>
        <w:t>). Mit Verfügung vom 8. Juni 2018 wurde ihr zudem eine Hilflosenentschädigung für eine Hilflosigkeit leichten Grades zuge sprochen (Urk. 8/283).</w:t>
      </w:r>
    </w:p>
    <w:p>
      <w:r>
        <w:rPr>
          <w:b/>
        </w:rPr>
        <w:t>E. 1.1</w:t>
      </w:r>
    </w:p>
    <w:p>
      <w:r>
        <w:t>Die 1964 geborene X.___</w:t>
      </w:r>
    </w:p>
    <w:p>
      <w:r>
        <w:t>leidet unter der Erkrankung Multiple Sklerose (Urk. 8/2). Nachdem sie sich am 7. August 1991 (Eingangsdatum) bei der Sozial versicherungsanstalt des Kantons Zürich, IV-Stelle, zum Leistungsbezug an ge meldet hatte (Urk. 8/2) , tätigte diese medizinische und berufliche Abklärungen und sprach ihr mit Verfügung vom 3 1. Januar 1994 eine halbe Rente der Invali denversicherung zu (Urk. 8/34). Nachdem diverse Revisionsverfahren durchge führt worden waren, wurde die Rente mit Verfügung vom 7. Dezember 200 7 auf eine ganze Rente erhöht (Urk. 8/15</w:t>
      </w:r>
    </w:p>
    <w:p>
      <w:r>
        <w:rPr>
          <w:b/>
        </w:rPr>
        <w:t>E. 1.2</w:t>
      </w:r>
    </w:p>
    <w:p>
      <w:r>
        <w:t>Mit Schreiben vom 2 5. März 2018 ersuchte die Versicherte um Übernahme der Kosten für einen Fahrzeugumbau im Umfang von Fr. 23'815.15 (Urk. 8/272) sowie um eine pauschale Vergütung für den Einbau eines Getriebeautomates im Umfang von Fr. 1'300.-- (Urk. 8/273). Nachdem die IV-Stelle eine Stellungnahme der Schweizerischen Hilfsmittelberatung für Behinderte und Betagte (SAHB) ein geholt hatte (Urk. 8/276), erteilte sie nach durchgeführtem Vorbescheidverfahren mit Verfügung vom 2 2. November 2018 Kostengutsprache für einen Fahr zeugumbau im Umfang von Fr. 18'244.35 sowie den Einbau eines Getriebeauto maten im Umfang von Fr. 1'300.-- (Urk. 2 [= 8/291]).</w:t>
      </w:r>
    </w:p>
    <w:p>
      <w:r>
        <w:rPr>
          <w:b/>
        </w:rPr>
        <w:t>E. 2</w:t>
      </w:r>
    </w:p>
    <w:p>
      <w:r>
        <w:t>Die Beschwerdegegnerin beantragte mit Eingabe vom 1 5. März 2019 die Abschreibung des Verfahrens, da sie ihre Verfügung vom 2 2. November 2018 in Wiedererwägung gezogen habe (Urk. 19). 3.1</w:t>
      </w:r>
    </w:p>
    <w:p>
      <w:r>
        <w:t>Als ordentlichem Rechtsmittel kommt der Beschwerde nach Art. 56 ff. des Bun-desgesetzes über den Allgemeinen Teil des Sozialversicherungsrechts (ATSG) Devolutiveffekt zu. Eingeschränkt wird dieser Effekt durch Art. 53 Abs.</w:t>
      </w:r>
    </w:p>
    <w:p>
      <w:r>
        <w:rPr>
          <w:b/>
        </w:rPr>
        <w:t>E. 3</w:t>
      </w:r>
    </w:p>
    <w:p>
      <w:r>
        <w:t>ATSG, wonach der Versicherungsträger eine Verfügung oder einen Einspracheentscheid so lange wiedererwägen kann, bis er gegenüber der Beschwerdebehörde Stellung nimmt. Die formgültige Beschwerdeerhebung begründe t - zu sammen mit der Beschwerdeantwort des Versicherungsträgers - die alleinige Zuständigkeit des kantonalen Versicherungsgerichts, über die im angefochtenen Entscheid geregel ten Rechtsverhältnisse zu ents cheiden. Somit verliert die Ver waltung die Herr schaft über den Streitgegenstand, sie kann insbesondere auch nicht mehr wieder erwägungsweise auf ihren Entscheid zurückkommen. Gemäss bundesgerichtlicher Rechtsprechung ist einer nach Einreichung der Beschwerdeantwort erlassenen Verfügung jedoch der Charakter eines Ant rags zuzuerkennen (BGE 109 V 234).</w:t>
      </w:r>
    </w:p>
    <w:p>
      <w:r>
        <w:rPr>
          <w:b/>
        </w:rPr>
        <w:t>E. 3.2</w:t>
      </w:r>
    </w:p>
    <w:p>
      <w:r>
        <w:t>Die Beschwerdegegnerin nahm am 1 8. Februar 2019 Stellung zum Begehren der Beschwerdeführerin und schloss auf Abweisung der Beschwerde (Urk. 7). Wie soeben ausgeführt , war es ihr nach diesem Zeitpunkt nicht mehr möglich, wie dererwägungsweise auf die angefochtene Verfügung zurückzukommen. Das von ihr als «Wiedererwägungsweise Aufhebung der Verfügung vom 22. November 2018» betitelte Schreiben vom 1 5. März 2019 vermag daher keine direkte Rechts wirkung zu entfalten, die Verfügung ist als nichtig anzusehen (vgl.  Kieser, ATSG-Kommentar, 3. Aufl., Zürich 2015, Art. 53 N 78 mit Hinweisen auf die Rechtspre chung).</w:t>
      </w:r>
    </w:p>
    <w:p>
      <w:r>
        <w:rPr>
          <w:b/>
        </w:rPr>
        <w:t>E. 3.3</w:t>
      </w:r>
    </w:p>
    <w:p>
      <w:r>
        <w:t>Mit ihrem Schreiben vom 1 5. März 2019 anerkannte die Beschwerdegegnerin indes inhaltlich das Begehren der Beschwerdeführerin. Daher ist dieses in Nach achtung der oben erwähnten Rechtsprechung als Antrag zur Gutheissung der Beschwerde entgegenzunehmen. Nachdem in Bezug auf die Kostenübernahme für den Fahrzeugumbau im Umfang von Fr. 23'815.15 übereinstimmende Anträge vorliegen und diese mit der Akten- und Rechtslage in Einklang stehen, ist die Beschwerde vollumfänglich gutzuheissen.</w:t>
      </w:r>
    </w:p>
    <w:p>
      <w:r>
        <w:t>Damit erübrigt sich die Durchführung einer Instruktionsverhandlung, weshalb den Parteien die Vorladung für den 2 2. März 2019 abzunehmen ist.</w:t>
      </w:r>
    </w:p>
    <w:p>
      <w:r>
        <w:rPr>
          <w:b/>
        </w:rPr>
        <w:t>E. 4</w:t>
      </w:r>
    </w:p>
    <w:p>
      <w:r>
        <w:t>.</w:t>
      </w:r>
    </w:p>
    <w:p>
      <w:r>
        <w:t>Zustellung gegen Empfangsschein und vorab per Fax an: - Assista Rechtsschutz AG</w:t>
      </w:r>
    </w:p>
    <w:p>
      <w:r>
        <w:t>- Sozialversicherungsanstalt des Kantons Zürich, IV-Stelle</w:t>
      </w:r>
    </w:p>
    <w:p>
      <w:r>
        <w:t>- Bundesamt für Sozialversicherungen (ohne vorab per Fax) sowie an: - Gerichtskasse (im Dispositiv nach Eintritt der Rechtskraft)</w:t>
      </w:r>
    </w:p>
    <w:p>
      <w:r>
        <w:rPr>
          <w:b/>
        </w:rPr>
        <w:t>E. 4.1</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4 00.-- anzusetzen. Entsprechend dem Aus gang des Verfahrens sind sie der Beschwerdegegnerin aufzuerlegen.</w:t>
      </w:r>
    </w:p>
    <w:p>
      <w:r>
        <w:rPr>
          <w:b/>
        </w:rPr>
        <w:t>E. 4.2</w:t>
      </w:r>
    </w:p>
    <w:p>
      <w:r>
        <w:t>Nach § 34 Abs. 1 GSVGer hat die obsiegende Beschwerde führende Person Anspruch auf Parteientschädigung . Diese ist in Anwendung von § 34 Abs. 3 GSVGer auf Fr. 1‘ 1 00.-- (inkl. Barauslagen und MWSt) festzulegen und der unterliegenden Beschwerdegegnerin aufzuerlegen. Der Einzelrichter verfügt:</w:t>
      </w:r>
    </w:p>
    <w:p>
      <w:r>
        <w:t>Die Vorladung zur Instruktionsverhandlung vom 2 2. März 2019 wird den Parteien abgenommen, und erkennt sodann : 1.</w:t>
      </w:r>
    </w:p>
    <w:p>
      <w:r>
        <w:t>In Gutheissung der Beschwerde wird die Verfügung der Sozialversicherungsanstalt des Kantons Zürich, IV-Stelle, vom 2 2. November 2018 insoweit aufgehoben, als lediglich Kosten gutsprache für invaliditätsbedingte Änderungen am Motorfahrzeug im Umfang von Fr. 18'244.35 erteilt wurde</w:t>
      </w:r>
    </w:p>
    <w:p>
      <w:r>
        <w:t>und es wird festgestellt, dass die Beschwerdeführerin Anspruch auf Kostenübernahme für invaliditätsbedingte Änderungen am Motorfahr zeug im Umfang von Fr. 23'815.15 und auf Kostenbeteiligung an den Getriebeautoma ten in Höhe von Fr. 1'300.-- hat . 2.</w:t>
      </w:r>
    </w:p>
    <w:p>
      <w:r>
        <w:t>Die Gerichtskosten von Fr. 400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1’100 .-- (inkl. Barauslagen und MWSt) zu bezahlen.</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VogelCuriger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