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IV.2018.01019 vom 15. Juli 2008</w:t>
      </w:r>
    </w:p>
    <w:p>
      <w:r>
        <w:t>ZH Sozialversicherungsgericht, 2008-07-15, DE</w:t>
      </w:r>
    </w:p>
    <w:p>
      <w:r>
        <w:rPr>
          <w:b/>
        </w:rPr>
        <w:t xml:space="preserve">Quelle: </w:t>
      </w:r>
      <w:r>
        <w:t>https://mcp.opencaselaw.ch/entscheid/zh_sozialversicherungsgericht_IV.2018.01019</w:t>
      </w:r>
    </w:p>
    <w:p>
      <w:r>
        <w:t>FR: ZH_SOZIALVERSICHERUNGSGERICHT IV.2018.01019 du 15 juillet 2008</w:t>
      </w:r>
    </w:p>
    <w:p>
      <w:r>
        <w:t>IT: ZH_SOZIALVERSICHERUNGSGERICHT IV.2018.01019 del 15 luglio 2008</w:t>
      </w:r>
    </w:p>
    <w:p>
      <w:pPr>
        <w:pStyle w:val="Heading2"/>
      </w:pPr>
      <w:r>
        <w:t>Erwägungen</w:t>
      </w:r>
    </w:p>
    <w:p>
      <w:r>
        <w:rPr>
          <w:b/>
        </w:rPr>
        <w:t>E. 1.1</w:t>
      </w:r>
    </w:p>
    <w:p>
      <w:r>
        <w:t>Entscheide über vorsorgliche Massnahmen sind Endentscheide, wenn sie in einem eigenständigen Verfahren ergehen. Selbständig eröffnete Massnahmenentscheide , die vor oder während eines Hauptverfahrens erlassen werden und nur für die Dauer des Hauptverfahrens bzw. unter der Bedingung, dass ein Hauptverfahren eingeleitet wird, Bestand haben, stellen Zwischenentscheide dar.</w:t>
      </w:r>
    </w:p>
    <w:p>
      <w:r>
        <w:t>Die Beschwerdegegnerin hat mit der angefochtenen Verfügung vom 1. November 2018 (Urk. 2 )</w:t>
      </w:r>
    </w:p>
    <w:p>
      <w:r>
        <w:t>– unter Ankündigung , nach weiteren Abklärungen abschliessend über die Leistung zu entscheiden -</w:t>
      </w:r>
    </w:p>
    <w:p>
      <w:r>
        <w:t>die Rentenzahlungen vorläufig eingestellt und damit für die Dauer des</w:t>
      </w:r>
    </w:p>
    <w:p>
      <w:r>
        <w:t>R evisions verfahrens</w:t>
      </w:r>
    </w:p>
    <w:p>
      <w:r>
        <w:t>vorsorgliche Massnahmen</w:t>
      </w:r>
    </w:p>
    <w:p>
      <w:r>
        <w:t>ge troffen, weshalb es sich bei dem angefochtenen Entscheid um eine Zwischenverfügung handelt (vgl. BGE 134 I 83 E. 3.1).</w:t>
      </w:r>
    </w:p>
    <w:p>
      <w:r>
        <w:rPr>
          <w:b/>
        </w:rPr>
        <w:t>E. 1.2</w:t>
      </w:r>
    </w:p>
    <w:p>
      <w:r>
        <w:t>Nach den Art. 52 Abs. 1 und 56 Abs. 1 des Bundesgesetzes über den Allgemeinen Teil des Sozialversicherungsrechts (ATSG) ist gegen alle prozess- und verfahrens leitenden Verfügungen direkt Beschwerde bei der dafür zuständigen kantonalen Gerichtsinstanz einzureichen. Dabei sind selbständig eröffnete Zwischenverfü gungen über die Zuständigkeit und über Ausstandsbegehren (Art. 55 Abs. 1 ATSG in Verbindung mit Art. 45 Abs. 1 des Verwaltungsverfahrensgesetzes [ VwVG ]) ohne weitere Einschränkungen anfechtbar.</w:t>
      </w:r>
    </w:p>
    <w:p>
      <w:r>
        <w:t>Andere selbständig eröffnete Zwischenverfügungen wie die hier zu beurteilende Sistierungsverfügung sind unter anderem anfechtbar, wenn sie einen nicht wie dergutzumachenden Nachteil bewirken können ( lit . a). Was den «nicht wieder gutzumachenden Nachteil» im Sinne des Art. 55 Abs. 1 ATSG in Verbindung mit Art. 46 Abs. 1 lit . a VwVG betrifft, genügt eine tatsächliche oder wirtschaftliche Erschwernis. Im Gegensatz dazu muss nach der Rechtsprechung des Bundesge richts zum praktisch gleichlautenden Artikel 93 Abs. 1 lit . a des Bundesgesetzes über das Bundesgericht (BGG) der «nicht wiedergutzumachende Nachteil» grund sätzlich rechtlicher Natur sein, das heisst auch durch einen günstigen Endent scheid nicht mehr behoben werden können. Mit dem Hinweis auf diesen Unter schied tritt das Bundesgericht auf Beschwerden gegen kantonale Urteile, bei denen eine vorläufige Sistierung von Rentenleistungen im Streit liegt, nicht ein (ausdrücklicher Hinweis in: Urteil des Bundesgerichts 8C_344/2017 vom 30. Mai 2017 mit weiteren Hinweisen).</w:t>
      </w:r>
    </w:p>
    <w:p>
      <w:r>
        <w:t>Im kantonalen Beschwerdeverfahren sind die Anforderungen an den nicht wieder gutzumachenden Nachteil weniger hoch und eine gerichtliche Überprüfung des Verwaltungshandelns muss gewährleistet sein. Demnach ist auf die Beschwerde einzutreten. 2. 2.1</w:t>
      </w:r>
    </w:p>
    <w:p>
      <w:r>
        <w:t>Eine Invalidenrente kann namentlich gestützt auf Art. 17 Abs.</w:t>
      </w:r>
    </w:p>
    <w:p>
      <w:r>
        <w:t>1 ATSG ( Anpas sung an geänderte tatsächliche Verhältnisse), Art.</w:t>
      </w:r>
    </w:p>
    <w:p>
      <w:r>
        <w:t>53 Abs.</w:t>
      </w:r>
    </w:p>
    <w:p>
      <w:r>
        <w:t>1 ATSG (prozessuale Revision) oder Art.</w:t>
      </w:r>
    </w:p>
    <w:p>
      <w:r>
        <w:t>53 Abs.</w:t>
      </w:r>
    </w:p>
    <w:p>
      <w:r>
        <w:t>2 ATSG (Wiedererwägung) – mit Wirkung ex nunc et pro futuro oder allenfalls ex tunc (Art.</w:t>
      </w:r>
    </w:p>
    <w:p>
      <w:r>
        <w:t>88 bis Abs.</w:t>
      </w:r>
    </w:p>
    <w:p>
      <w:r>
        <w:t>2 der Verordnung über die In validenversicherung [IVV] ) – herabgesetzt oder aufgehoben werden</w:t>
      </w:r>
    </w:p>
    <w:p>
      <w:r>
        <w:t>(vgl. Ulrich Meyer, Die Abänderung formell rechtskräftiger Verwaltungsverfügungen in der Sozialversicherung, ZBl 1994 S. 337 ff., in: Ausgewählt e Schriften, 2013, S. 117 ff.).</w:t>
      </w:r>
    </w:p>
    <w:p>
      <w:r>
        <w:t>Die Herabsetzung oder Aufhebung der Rente gemäss Art. 88 bis Abs. 2 lit . b IVV in der seit 1. Januar 2015 in Kraft stehenden Fassung erfolgt rückwirkend ab Eintritt der für den Anspruch erheblichen Änderung, wenn der Bezüger die Leis tung zu Unrecht erwirkt hat oder der ihm nach Art. 77 IVV zumutbaren Melde pflicht nicht nachgekommen ist, unabhängig davon, ob die Verletzung der Mel depflicht oder die unrechtmässige Erwirkung ein Grund für die Weiterausrichtung der Leistung war. 2.2</w:t>
      </w:r>
    </w:p>
    <w:p>
      <w:r>
        <w:t>Die Verwaltung kann gestützt auf Art. 55 Abs. 1 ATSG in Verbindung mit Art. 56 VwVG ihre Leistungen im Rahmen vorsorglicher Massnamen einstweilen einstel len (vgl.</w:t>
      </w:r>
    </w:p>
    <w:p>
      <w:r>
        <w:t>Franz Schlauri , Die Einstellung von Dauerleistungen in der Sozialversi cherung, in: Schaffhau ser/ Schlauri</w:t>
      </w:r>
    </w:p>
    <w:p>
      <w:r>
        <w:t>[Hrsg.], Die Revision von Dauerleistungen, St. Gall en 1999, S. 191 ff., 216 ff.; Urs Müller, Das Verwaltungsverfahren in der Inval i denversicherung, Bern 2010, Rz . 2329 ff.), wobei sie in gleicher Weise wie bei der Beurteilung der Frage, ob einem Entscheid suspensive Wirkung zukommt (vgl. Art. 11 der Ver ord nung über den Allgemeinen Teil des Sozialversicherungs rechts [ATSV] in Verbin dung mit Art. 55 VwVG ), eine Interessenabwägung vor zunehmen und somit zu prüfen hat, ob die Gründe, die für die Wirksamkeit der vorsorglichen Anordnung sprechen, gewichtiger sind als jene, die für die gegen teilige Lösung angeführt werden können.</w:t>
      </w:r>
    </w:p>
    <w:p>
      <w:r>
        <w:t>B ei der Abwägung der Gründe für und gegen eine einstweilige Sistierung von Rentenleistungen steht dem Interesse der Versiche rung, eine Rückforderung we gen der damit verbundenen administrativen Erschwernisse und der Gefahr der Uneinbringlichkeit nach Möglichkeit zu vermeiden, das Interesse der versicherten Person gegenüber, während der Dauer des Verfahrens den Lebensunterhalt ohne entsprechende Versicherungsleistungen bestreiten zu müssen . Für den Fall, dass die Erfolgsaussichten der versicherten Person im Hauptverfahren nicht eindeutig positiv sind, wird das Interesse der Verwaltung beziehungsweise der Versicherung an der Vermeidung administrativer Umtriebe und Verhinderung von Rückforde rungsausfällen regelmässig höher gewichtet als dasjenig e der versicherten Person, nicht in eine Notlage zu geraten (vgl. Urteile des Bundesgerichts 8C_110/2008 vom 7. Mai 2008 E. 2.3 und I 426/05 vom 8. August 2005 E. 2.3).</w:t>
      </w:r>
    </w:p>
    <w:p>
      <w:r>
        <w:t>Der Entscheid über vorsorgliche Massnahmen fusst auf einer summarischen Prü fung und stützt sich auf den Sachverhal t , der sich aus den vorhandenen Akten ohne zeitraubende weitere Erhebungen ergibt (vgl. Urteil e des Bundesgerichts I 57/03 vom 3. April 2003 E. 4.1 und U 21/02 vom 11. Dezember 2002 E. 7.2 und E. 8.2). 3. 3.1</w:t>
      </w:r>
    </w:p>
    <w:p>
      <w:r>
        <w:t>Die Beschwerdegegnerin begründete in der angefochtenen Verfügung vom 1 . No vember 201 8 (Urk. 2) die Sistierung der bisherigen Invalidenrente per Ende Ok tober 2018 im Wesentlichen damit, dass aufgrund des - im Rahmen einer Anmel dung für eine Hilflosenentschädigung durchgeführten</w:t>
      </w:r>
    </w:p>
    <w:p>
      <w:r>
        <w:t>Abklärungsgesprächs - festgestellten desolaten Allgemeinzustandes und völliger Hilflosigkeit , aber feh lender medizinischer Belege dazu, Spezialabklärungen (Internetrecherche und Observation) durchgeführt worden seien</w:t>
      </w:r>
    </w:p>
    <w:p>
      <w:r>
        <w:t>(S. 2 f.) . Ihr regionaler ärztlicher Dienst</w:t>
      </w:r>
    </w:p>
    <w:p>
      <w:r>
        <w:t>( RAD ) habe gestützt auf die daraus gewonnenen Erkenntnisse eine psychische Störung zwar nicht ausschliessen können, aber zu den entsprechenden Zeiten, vor allem der Observation, eine schwerwiegende Einschränkung der Beschwerde führerin (S. 3). Es bestünden daher Anhaltspunkte, dass in der Vergangenheit eine für den Leistungsanspruch erhebliche Veränderung eingetreten sei. Andernfalls müsse davon ausgegangen werden, dass die Weiterausrichtung mittels falscher Angaben erwirkt worden sei. Es bestehe darum die Möglichkeit einer rückwirken den Leistungsbeurteilung ; demnach sei die Rente per sofort per Ende Oktober 2018 zu sistieren. Nach Vornahme der notwendigen weiteren Abklärungen werde ein abschliessender Leistungsentscheid ergehen (S. 4 f.).</w:t>
      </w:r>
    </w:p>
    <w:p>
      <w:r>
        <w:t>Mit Stellungnahme vom 18. Februar 2019 (Urk. 19) führte die Beschwerdegegne rin ergänzend aus, dass es sich bei der Verfügung vom 1. November 2018 um eine vorsorgliche Massnahme und nicht um eine materielle Leistungsverweige rung nach Art. 7b des Bundesgesetz es über die Invalidenversicherung (IVG) handle. 3.2</w:t>
      </w:r>
    </w:p>
    <w:p>
      <w:r>
        <w:t>Demgegenüber liess der Beschwerdeführer im Wesentlichen vortragen (Urk. 1) , vorsorgliche Massnahmen im Verwaltungsverfahren könnten nur erlassen wer den, wenn die entsprechenden Voraussetzungen erfüllt seien und eine Interessen abwägung vorgenommen worden sei. Nach Art. 7b IVG k önnten die Leistungen nach Art. 31 Abs. 4 ATSG gekürzt werden, wenn die versicherte Person ihren Pflichten nach Art. 7 ATSG oder nach Art . 43 Abs. 2 ATSG nicht nachgekommen sei (S. 6 Ziff. 2). Laut «Art. 7 Abs. b Abs. 3 » IVG sei en b eim Entscheid über die Kürzung oder Verweigerung von Leistungen alle Umstände des einzelnen Falles zu berücksichtigen. Die Sistierung der Rente sei in casu von Anfang an gesetzes widrig gewesen (S. 6 Ziff. 3). Als weitere Voraussetzung für die Anordnung von vorsorglichen Massnahmen sei Dringlichkeit gefordert, was vorliegend nicht der Fall sei (S. 7 f. Ziff. 4 und 5). Zudem habe von Anfang an kein hinreichender Anfangsverdacht für die Observation bestanden, für welche es sowieso an einer gesetzlichen Grundlage fehle (S. 8 Ziff. 6). Darüber hinaus sei die Observation von einer unqualifizierten Person durchgeführt worden (S. 8 f. Ziff. 7). Ferner sei es unverhältnismässig, dass die Rente nach über zehn Jahren ohne Vorbescheid verfahren sistier t werde, was zudem eine massive Verletzung des rec htlichen Ge hörs darstelle (S. 9 f. Ziff. 8 und 10). Weiter sei es fahrlässig und unverhältnis mässig gewesen, dass ihr der Verdacht in Abwesenheit ihres Beistandes erö ffnet worden sei (S. 9 f. Ziff. 9). 3.3</w:t>
      </w:r>
    </w:p>
    <w:p>
      <w:r>
        <w:t>Strittig und zu prüfen ist, ob die Beschwerdegegnerin ihre Rentenleistungen zu Recht per Ende Oktober 201 8 sistiert hat. Dem Entscheid über die vorsorglich getroffene Rentensistierung ist dabei anges ichts der dabei gebotenen summari schen Prüfung der Sachverhalt zugrunde zu legen, der sich aus den vorhande nen Akten und ohne zeitraubende weitere Erhebungen ergibt. 4. 4.1</w:t>
      </w:r>
    </w:p>
    <w:p>
      <w:r>
        <w:t>D ie rentenzusprechende Verfügung vom 15.</w:t>
      </w:r>
    </w:p>
    <w:p>
      <w:r>
        <w:t>Juli 2008 (Urk.</w:t>
      </w:r>
    </w:p>
    <w:p>
      <w:r>
        <w:t>16/68 ) stützte sich – gemäss den damaligen Feststellungsblättern (Urk. 16/22 , Urk. 16/31 , Urk. 16/50, Urk. 16/52 , Urk. 16/62) – in medizinischer Hinsicht in erster Linie auf das psy chiatrische Gutachten von Dr. med. Z.___ , Facharzt für Psychiatrie und Psy chotherapie FMH, vom 8. Dezember 2006 (Urk. 16/18) sowie auf den Haushalts abklärungsbericht vom 8. Juni 2007 (Urk. 16/ 20 ) ab , in welchem eine Einschrän kung von insgesamt 63,5 % im Haushaltsbereich festgehalten wurde.</w:t>
      </w:r>
    </w:p>
    <w:p>
      <w:r>
        <w:t>Dr. Z.___</w:t>
      </w:r>
    </w:p>
    <w:p>
      <w:r>
        <w:t>führte in seinem Gutachten aus , die Lebensgeschichte, die Informa tionen aus den Akten, die aktuelle Situation und der klinische Befund ergäben das Gesamtbild einer aktuell schwer beeinträchtigten Beschwerdeführerin. In An betracht dessen, dass die Alkoholkrankheit aktuell die Situation als vordergrün dige Problematik beherrsche, sei die Hauptdiagnose eines Alkoholabhängigkeits syndroms mit ständigem Substanzgebrauch bei einer auffälligen Primärpersön lichkeit mit abhängigen, selbstunsicheren und emotional instabilen Zügen ( ICD - 10 F10.26) zu stellen . In Anbetracht des Umstandes, dass die Differenzialdiagnose der affektiven Störung nicht klargeworden sei, sei aufgrund des aktuellen Zu standbildes die Nebendiagnose eine r rezidivierende n depressive n Episode schwe ren Grades mit somatischen Symptomen (ICD-10 F33.3) zu stellen. Gemäss ICD-10 soll e diese Kategorie namentlich auch dann gewählt werden, wenn nach de pressiven Episoden submanisch anmutende Phasen aufträten, die möglicherweise auch durch die medikamentöse Behandlung ausgelöst sein könnten. Ausser Zwei fel stehe aktuell die krankheitsbedingte 100%ige Arbeitsunfähigkeit für Hilfsar beiten jedwelcher</w:t>
      </w:r>
    </w:p>
    <w:p>
      <w:r>
        <w:t>Art. Eine wechselnde Einschränkung der Arbeitsfähigkeit sei auch für den Haushalt gegeben. Diese sei mit durchschnittlich 60 % zu beziffern (Urk. 16/18 S. 7).</w:t>
      </w:r>
    </w:p>
    <w:p>
      <w:r>
        <w:t>Auf dieser Grundlage schloss die Beschwerdegegnerin auf eine n Invaliditätsgrad von 93 % bei einer Einschränkung im Erwerbsbereich von 100 % (Anteil: 80 % ) und einer Einschränkung im Haushaltsbereich von 64 % (Anteil: 20 % ) und sprach der Beschwerdeführerin eine ganze Invalidenrente ab</w:t>
      </w:r>
    </w:p>
    <w:p>
      <w:r>
        <w:rPr>
          <w:b/>
        </w:rPr>
        <w:t>E. 6</w:t>
      </w:r>
    </w:p>
    <w:p>
      <w:r>
        <w:t>f.]) beurteilen . Nach durchgeführtem Vorbescheidverfahren («Vorgesehene Verfügung» vom 4. Oktober 2018 [Urk. 16/177] , Schreiben vom 8. Oktober 2018 [Urk. 16/ 198 ])</w:t>
      </w:r>
    </w:p>
    <w:p>
      <w:r>
        <w:t>verfügte die IV-Stelle am 1. November 201</w:t>
      </w:r>
    </w:p>
    <w:p>
      <w:r>
        <w:rPr>
          <w:b/>
        </w:rPr>
        <w:t>E. 8</w:t>
      </w:r>
    </w:p>
    <w:p>
      <w:r>
        <w:t>(Urk. 9) zur Stellungnahme zu gestellt wurde. Mit Schreiben vom 13. Dezember 2018 (Urk. 10) reichte die Beschwerdeführerin ein von ihr am</w:t>
      </w:r>
    </w:p>
    <w:p>
      <w:r>
        <w:rPr>
          <w:b/>
        </w:rPr>
        <w:t>E. 12</w:t>
      </w:r>
    </w:p>
    <w:p>
      <w:r>
        <w:t>. Dezember 2018 (Urk. 11) unterzeichnetes Formular zur Ab klärung der prozessualen Bedürftigkeit sowie diverse diesbezügliche Unterlagen (Urk. 12) ein. Die Beschwerdegegnerin beantragte mit Beschwerdeantwort vom 22. Januar (Urk. 15 ) die Abweisung der Beschwerde . Am 16. Januar 2019 (Urk. 13) korrigierte die Beschwerdefü hrerin ihre Beschwerde in Ziff. III.</w:t>
      </w:r>
    </w:p>
    <w:p>
      <w:r>
        <w:t>3 und reichte einen Bericht der Y.___ nach (Urk. 14). Mit Stellung n ahme vom 18. Februar 2019 (Urk. 19) hielt die Beschwerdegegnerin an ihrem Abweisungsantrag fest, was der Beschwerdeführerin mit Verfügung vom 19. Februar 2019 (Urk. 20) – neben der Beschwerdeantwort – zur Kenntnis zugestellt wurde.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