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IV.2018.00981 vom 2. Februar 2012</w:t>
      </w:r>
    </w:p>
    <w:p>
      <w:r>
        <w:t>ZH Sozialversicherungsgericht, 2012-02-02, DE</w:t>
      </w:r>
    </w:p>
    <w:p>
      <w:r>
        <w:rPr>
          <w:b/>
        </w:rPr>
        <w:t xml:space="preserve">Quelle: </w:t>
      </w:r>
      <w:r>
        <w:t>https://mcp.opencaselaw.ch/entscheid/zh_sozialversicherungsgericht_IV.2018.00981</w:t>
      </w:r>
    </w:p>
    <w:p>
      <w:r>
        <w:t>FR: ZH_SOZIALVERSICHERUNGSGERICHT IV.2018.00981 du 2 février 2012</w:t>
      </w:r>
    </w:p>
    <w:p>
      <w:r>
        <w:t>IT: ZH_SOZIALVERSICHERUNGSGERICHT IV.2018.00981 del 2 febbraio 2012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Im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Schadenminderungspflicht (vgl. BGE 120 V 368 E. 6b, 117 V 275 E. 2b), wobei jedoch von der versicherten Person nur Vorkehren verlangt werden können, die unter Berücksichtigung der gesamten objektiven und subjektiven Gegebenheiten des Einzelfalles zumutbar sind (BGE 113 V 22 E. 4a mit Hinweisen auf Lehre und Rechtsprechung; ZAK 1989 S. 214 E. 1c). Als Ausdruck der allgemeinen Schadenminderungspflicht geht die Pflicht, die notwendigen Schritte zur Selbsteingliederung zu unternehmen, nicht nur dem Renten-, sondern auch dem gesetzlichen Eingliederungsanspruch vor (Urteil des Bundesgerichts 9C_356/2014 vom 14. November 2014 E. 3.1 mit Hinweisen auf Urteile I 116/03 vom 10. November 2003 E. 3.1 und I 145/01 vom 12. September 2001 E. 2b).</w:t>
      </w:r>
    </w:p>
    <w:p>
      <w:r>
        <w:t>Für die Beantwortung der Frage nach der Zumutbarkeit der Behandlung oder Ein gliederungsmassnahme im Sinne von Art. 21 Abs.</w:t>
      </w:r>
    </w:p>
    <w:p>
      <w:r>
        <w:rPr>
          <w:b/>
        </w:rPr>
        <w:t>E. 2</w:t>
      </w:r>
    </w:p>
    <w:p>
      <w:r>
        <w:t>Der Versicherte erhob am 11. Oktober 2018 Beschwerde gegen die Verfügung vom 9. Oktober 2018 (Urk. 2) und beantragte die Ausrichtung der bisherigen Rente (Urk. 1 S. 3). M it Beschwerdeantwort vom 27. November 2018 schloss die IV-Stelle auf Abweisung der Beschwerde (Urk. 5). Dies wurde dem Beschwerdeführer am 10. Dezember 2018 zur Kenntnis gebracht (Urk. 7). Das Gericht zieht in Erwägung: 1.</w:t>
      </w:r>
    </w:p>
    <w:p>
      <w:r>
        <w:rPr>
          <w:b/>
        </w:rPr>
        <w:t>E. 4</w:t>
      </w:r>
    </w:p>
    <w:p>
      <w:r>
        <w:t>ATSG kann auf die zu Art. 31 Abs. 1 des Bundesgesetzes über die Invalidenversicherung ( IVG ) in der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