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IV.2018.00980 vom 27. Dezember 2018</w:t>
      </w:r>
    </w:p>
    <w:p>
      <w:r>
        <w:t>ZH Sozialversicherungsgericht, 2018-12-27, DE</w:t>
      </w:r>
    </w:p>
    <w:p>
      <w:r>
        <w:rPr>
          <w:b/>
        </w:rPr>
        <w:t xml:space="preserve">Quelle: </w:t>
      </w:r>
      <w:r>
        <w:t>https://mcp.opencaselaw.ch/entscheid/zh_sozialversicherungsgericht_IV.2018.00980</w:t>
      </w:r>
    </w:p>
    <w:p>
      <w:r>
        <w:t>FR: ZH_SOZIALVERSICHERUNGSGERICHT IV.2018.00980 du 27 décembre 2018</w:t>
      </w:r>
    </w:p>
    <w:p>
      <w:r>
        <w:t>IT: ZH_SOZIALVERSICHERUNGSGERICHT IV.2018.00980 del 27 dicembre 2018</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 bietung allen guten Willens daran hindert, ein rentenausschliessen des Erwerbs 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 wissern, ob die von der versicherten Person glaubhaft gemachte Verände rung des Invali di täts 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dende Invalidität zu bejahen, und hernach zu beschliessen. Im Beschwerde fall obliegt die gleiche materielle Prüfungspflicht auch dem Gericht (BGE 117 V 198 E. 3a, 109 V 108 E. 2b).</w:t>
      </w:r>
    </w:p>
    <w:p>
      <w:r>
        <w:t>Mit Art. 87 Abs. 3 in Verbindung mit Abs. 2 IVV soll verhindert werden, dass sich die Verwaltung nach vorangegangener rechtskräftiger Leistungsverweige rung immer wieder mit gleichlautenden und nicht näher begründeten, das heisst keine Veränderung des Sachverhalts darlegenden Gesuchen befassen muss (BGE 109 V 108 E. 2a, 264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allseitig zu prüfen (BGE 117 V 198 E. 3a und E. 4b; vgl. auch BGE 130 V 64 E. 5.2, 72 E. 2.2 mit Hinweisen).</w:t>
      </w:r>
    </w:p>
    <w:p>
      <w:r>
        <w:t>Mit dem Beweismass des Glaubhaftmachens sind herabgesetzte Anforderungen an den Beweis verbunden; die Tatsachenänderung muss also nicht nach dem im Sozialversicherungsrecht sonst üblichen Grad der überwiegenden Wahrschein lichkeit (BGE 126 V 353 E. 5b) erstellt sein. Es genügt, dass für das Vorhandensein des geltend gemachten rechtserheblichen Sachumstandes wenigstens gewisse Anhalts punkte bestehen, auch wenn durchaus noch mit der Möglichkeit zu rechnen ist, bei eingehender Abklärung werde sich die behauptete Änderung nicht erstellen lassen. Erheblich ist eine Sachverhaltsänderung, wenn ange nommen werden kann, der Anspruch auf eine Invalidenrente (oder deren Erhö hung) sei begründet, falls sich die geltend gemachten Umstände als richtig erwei sen sollten (Urteil des Bundesgerichts 9C_523/2014 vom 19. November 2014 E. 2 mit weiteren Hinweisen).</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 2.</w:t>
      </w:r>
    </w:p>
    <w:p>
      <w:r>
        <w:rPr>
          <w:b/>
        </w:rPr>
        <w:t>E. 2</w:t>
      </w:r>
    </w:p>
    <w:p>
      <w:r>
        <w:t>Dagegen erhob die Versicherte am 3. November 2018 Beschwerde und beantragte sinngemäss die Prüfung des Neuanmeldegesuchs (Urk. 1).</w:t>
      </w:r>
    </w:p>
    <w:p>
      <w:r>
        <w:t>Mit Beschwerdeantwort vom 10. Dezember 2018 beantragte die IV-Stelle die Abweisung der Beschwerde (Urk. 4), was der Beschwerdeführerin mit Verfügung vom 12. Dezember 2018 zur Kenntnis gebracht wurde (Urk. 6). Das Gericht zieht in Erwägung: 1.</w:t>
      </w:r>
    </w:p>
    <w:p>
      <w:r>
        <w:rPr>
          <w:b/>
        </w:rPr>
        <w:t>E. 2.1</w:t>
      </w:r>
    </w:p>
    <w:p>
      <w:r>
        <w:t>Die Beschwerdegegnerin begründete die angefochtene Verfügung damit, dass keine wesentliche Veränderung der beruflichen oder medizinischen Situation habe festgestellt werden können. Auch der Bericht von Dr. B.___, Facharzt FMH für Psychiatrie und Psychotherapie, lasse nicht auf eine Verschlechterung des Gesundheitszustandes seit dem Jahr 2013 schliessen (Urk. 2).</w:t>
      </w:r>
    </w:p>
    <w:p>
      <w:r>
        <w:rPr>
          <w:b/>
        </w:rPr>
        <w:t>E. 2.2</w:t>
      </w:r>
    </w:p>
    <w:p>
      <w:r>
        <w:t>Demgegenüber machte die Beschwerdeführerin im Wesentlichen geltend, dass sie es trotz ihrer psychischen Beschwerden immer vorgezogen habe, sich in der Arbeitswelt zu integrieren. Die 40%ige Anstellung, welche sie im Juni 2018 habe antreten können, habe sie nach drei Monaten wieder verloren; momentan könnte sie auch diese 40 % nicht bewältigen, da sie zu 100 % krankgeschrieben sei. Nach Rücksprache mit Dr. B.___ bitte sie um Prüfung der Beschwerde (Urk. 1).</w:t>
      </w:r>
    </w:p>
    <w:p>
      <w:r>
        <w:rPr>
          <w:b/>
        </w:rPr>
        <w:t>E. 2.3</w:t>
      </w:r>
    </w:p>
    <w:p>
      <w:r>
        <w:t>Vergleichsbasis im vorliegenden Neuanmeldeverfahren bildet die Verfügung vom 4. November 2013 , w elche sich in medizinischer Hin sicht im Wesentlichen auf den Bericht von Dr. C.___, Fachärztin FMH für Allgemeine Medizin, stützte (vgl. Urk. 5/63 S. 3). In ihrem Bericht vom 30. Januar 2013 diagnostizierte die Hausärztin der Beschwerdeführerin eine rezidivierende depressive Episode mit somatischem Syndrom, aktuell in Remission, vorher mittelgradig seit März 2012, (ICD-10 F33.11); einen Status nach Erschöpfungssyndrom (ICD-10 Z73.0) sowie einen Status nach Remission einer posttraumatischen Belastungsstörung (ICD-10 F43.1) bei mehrfacher früherer Traumatisierung reaktiviert unter Belastung durch Kündigung und Arbeitslosigkeit 2009. Die Patientin habe eine neue Stelle in einem 80 %-Pensum, so dass ab 1. Januar 2013 mit der Wiederaufnahme der beruflichen Tätigkeit in diesem Umfang gerechnet werden könne (Urk. 5/60). 3. 3.1</w:t>
      </w:r>
    </w:p>
    <w:p>
      <w:r>
        <w:t>Dr. B.___ diagnostizierte in seinem Bericht vom 17. Mai 2018 eine Major Depression, rezidivierend, schwergradig (DSM-5: 296.33). Die Beschwerde führe rin stehe bei ihm seit dem 25. Januar 2018 in Behandlung, wobei es seit der Aus steuerung im August 2017 zu einer Zunahme der depressiven Symptomatik gekommen sei. Die Beschwerdeführerin werde psychopharmako logisch wie psycho therapeutisch behandelt. Seit Behandlungs beginn sei von einer 100%igen Arbeitsunfähigkeit auszugehen, wobei zurzeit keine Prognose gestellt werden könne (Urk. 5/74). 3.2</w:t>
      </w:r>
    </w:p>
    <w:p>
      <w:r>
        <w:t>In seiner Stellungnahme vom 18. September 2018 führte Dr. B.___ unter Berück sichtigung des im Rahmen der erstmaligen Rentenzusprache ergangenen Gut ach tens ergänzend aus, dass der Schweregrad der Depression seit 2010 deutlich zugenommen habe, ebenfalls sei die Symptomatik der posttraumatischen Belastungsstörung unvermindert schwergradig . Die Befunde und Beurteilung gemäss Bericht vom 17. Mai 2018 würden auch heute noch gelten. Die medizi ni sche Situation habe sich seit der Begutachtung 2010 und vor allem seit dem am 4. November 2013 abgewiesenen Leistungsbegehren wesentlich geändert (Urk. 5/79). 4. 4.1</w:t>
      </w:r>
    </w:p>
    <w:p>
      <w:r>
        <w:t>Während im Rahmen der erstmaligen Rentenprüfung (Verfügung vom 17. März 2011, Zusprache einer halben Rente mit Wirkung ab 1. September 2010) der medizinische Sachverhalt einlässlich abgeklärt wurde (Z.___-Gutachten vom 9. Oktober 2010, Urk. 5/15), wurde im Zuge der revisionsweisen Aufhebung der Rente mit Verfügung vom 15. September 2011 (Urk. 5/45) sowie der Bestätigung dieses Entscheids mit Verfügung vom 4. November 2013 (Urk. 5/67) die Leistungsfähigkeit der Beschwerdeführerin vor allem unter Berücksichtigung des konkreten Arbeitspensums ermittelt. Die Referenzverfügung vom 4. November 2013 stützt sich dabei nicht einmal auf eine fachpsychiatrische Einschätzung, sondern begnügt sich mit einem Bericht der behandelnden Hausärztin. Da die Beschwerdeführerin zu diesem Zeitpunkt einer Erwerbstätigkeit im Umfang von 80 % nachging und sie im Juni 2018 nicht einmal mehr eine 40%ige Anstellung mittelfristig bewältigen konnte, bestehen bereits aufgrund der beruflichen Ent wicklung Anhaltspunkte für eine Verschlechterung der Situation, zumal aufgrund der Stellenlosigkeit die Arbeitsfähigkeit nunmehr unter Berücksichti gung medi zinisch-theoretischer Überlegungen zu erfolgen hat. Anzumerken ist dabei, dass bei einer retrospektiven Betrachtung der beruflichen Tätigkeit eher von einer sich überfordernden Beschwerdeführerin auszugehen ist. 4.2</w:t>
      </w:r>
    </w:p>
    <w:p>
      <w:r>
        <w:t>Zudem ergeben sich auch aufgrund der Einschätzungen von Dr. B.___ Anhalts punkte für eine Verschlechterung der gesundheitlichen Situation sowohl was den Verlauf seit der Begutachtung 2010 als auch den Verlauf seit der Verfügung vom 4. November 2013 betrifft. So geht Dr. B.___ von einer schwer gradigen depressi ven Erkrankung aus, welche sich – verglichen mit früheren Episoden - trotz fach ärztlicher Behandlung nicht kurzfristig verbessern lassen konnte. 4.3</w:t>
      </w:r>
    </w:p>
    <w:p>
      <w:r>
        <w:t>Zusammenfassend sind den vorliegenden Akten sowohl Anhaltspunkte für eine wesentliche Veränderung der beruflichen Situation wie auch für eine Verschlech terung der gesundheitlichen Situation zu entnehmen. Die Beschwerdegegnerin ist demzufolge zu verpflichten, auf das Leistungsbegehren einzutreten und den massgebenden Sachverhalt umfassend abzuklären. 5.</w:t>
      </w:r>
    </w:p>
    <w:p>
      <w:r>
        <w:t>Da es im vorliegenden Verfahren um die Bewilligung oder Verweigerung von IV Leistungen geht, ist das Verfahren kostenpflichtig. Die Gerichtskosten sind nach dem Verfahrensaufwand und unabhängig vom Streitwert festzulegen (Art. 69 Abs. 1 bis IVG) und auf Fr. 500.-- anzusetzen. Entsprechend dem Ausgang des Verfahrens sind sie der Beschwerdegegnerin aufzuerlegen. Das Gericht erkennt: 1.</w:t>
      </w:r>
    </w:p>
    <w:p>
      <w:r>
        <w:t>In Gutheissung der Beschwerde wird die angefochtene Verfügung vom 8. Oktober 2018 aufgehoben und es wird die Beschwerdegeg nerin verpflichtet, auf die Neu anmeldung einzutreten und diese materiell zu prüfen. 2.</w:t>
      </w:r>
    </w:p>
    <w:p>
      <w:r>
        <w:t>Die Gerichtskosten von Fr. 500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GräubSchetty</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