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IV.2018.00851 vom 20. November 2018</w:t>
      </w:r>
    </w:p>
    <w:p>
      <w:r>
        <w:t>ZH Sozialversicherungsgericht, 2018-11-20, DE</w:t>
      </w:r>
    </w:p>
    <w:p>
      <w:r>
        <w:rPr>
          <w:b/>
        </w:rPr>
        <w:t xml:space="preserve">Quelle: </w:t>
      </w:r>
      <w:r>
        <w:t>https://mcp.opencaselaw.ch/entscheid/zh_sozialversicherungsgericht_IV.2018.00851</w:t>
      </w:r>
    </w:p>
    <w:p>
      <w:r>
        <w:t>FR: ZH_SOZIALVERSICHERUNGSGERICHT IV.2018.00851 du 20 novembre 2018</w:t>
      </w:r>
    </w:p>
    <w:p>
      <w:r>
        <w:t>IT: ZH_SOZIALVERSICHERUNGSGERICHT IV.2018.00851 del 20 novembre 2018</w:t>
      </w:r>
    </w:p>
    <w:p>
      <w:pPr>
        <w:pStyle w:val="Heading2"/>
      </w:pPr>
      <w:r>
        <w:t>Erwägungen</w:t>
      </w:r>
    </w:p>
    <w:p>
      <w:r>
        <w:rPr>
          <w:b/>
        </w:rPr>
        <w:t>E. 1</w:t>
      </w:r>
    </w:p>
    <w:p>
      <w:r>
        <w:t>Mit Verfügung vom 31. August 2018 (Urk. 2/1) wies die Beschwerdegegnerin das Gesuch des Beschwerdeführers um unentgeltliche Rechtsvertretung im Verwal tungsverfahren ab. Am 6. September 2018 hob sie die bisherige halbe Rente per 1. April 2015 verfügungsweise auf (Urk. 2/2). Mit Eingabe vom 1. Oktober 2018 erhob der Beschwerdeführer gegen beide Verfügungen Beschwerde (Urk. 1). Mit Beschwerdeantwort vom 7. November 2018 (Urk. 5) beantragte die Beschwerde gegnerin die Abweisung der Beschwerde.</w:t>
      </w:r>
    </w:p>
    <w:p>
      <w:r>
        <w:rPr>
          <w:b/>
        </w:rPr>
        <w:t>E. 2</w:t>
      </w:r>
    </w:p>
    <w:p>
      <w:r>
        <w:t>Zustellung gegen Empfangsschein an: - Rechtsanwalt Michael Ausfeld, unter Beilage des Doppels von Urk. 5 - Sozialversicherungsanstalt des Kantons Zürich, IV-Stelle Sozialversicherungsgericht des Kantons Zürich Die Gerichtsschreiberin 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