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IV.2018.00849 vom 6. Oktober 2014</w:t>
      </w:r>
    </w:p>
    <w:p>
      <w:r>
        <w:t>ZH Sozialversicherungsgericht, 2014-10-06, DE</w:t>
      </w:r>
    </w:p>
    <w:p>
      <w:r>
        <w:rPr>
          <w:b/>
        </w:rPr>
        <w:t xml:space="preserve">Quelle: </w:t>
      </w:r>
      <w:r>
        <w:t>https://mcp.opencaselaw.ch/entscheid/zh_sozialversicherungsgericht_IV.2018.00849</w:t>
      </w:r>
    </w:p>
    <w:p>
      <w:r>
        <w:t>FR: ZH_SOZIALVERSICHERUNGSGERICHT IV.2018.00849 du 6 octobre 2014</w:t>
      </w:r>
    </w:p>
    <w:p>
      <w:r>
        <w:t>IT: ZH_SOZIALVERSICHERUNGSGERICHT IV.2018.00849 del 6 ottobre 2014</w:t>
      </w:r>
    </w:p>
    <w:p>
      <w:pPr>
        <w:pStyle w:val="Heading2"/>
      </w:pPr>
      <w:r>
        <w:t>Erwägungen</w:t>
      </w:r>
    </w:p>
    <w:p>
      <w:r>
        <w:rPr>
          <w:b/>
        </w:rPr>
        <w:t>E. 1</w:t>
      </w:r>
    </w:p>
    <w:p>
      <w:r>
        <w:t>Die 1961 geborene und seit 1994 als</w:t>
      </w:r>
    </w:p>
    <w:p>
      <w:r>
        <w:t>Mitarbeiterin Hauswirtschaft tätig gewesene X.___ meldete sich erstmals am 4. September 2013 unter Hinweis auf einen am 17. Januar 2013 erlittenen Knöchelbruch links bei der Sozialversiche rungs anstalt des Kantons Zürich, IV-Stelle, zum Leistungsbezug an (Urk. 7/7). Nach dem X.___ wieder vollumfänglich in der angestammten Tätigkeit arbeits fähig war, wurden die an Hand genommenen Eingliederungsmassnahmen abgeschlossen (Mitteilung vom 18. Februar 2014, Urk. 7/23) und ein Rentenanspruch mangels erfüllten Wartejahrs verneint (Verfügung vom 6. Oktober 2014, Urk. 7/29). Nach einer Operation im Januar 2016 meldete sich X.___</w:t>
      </w:r>
    </w:p>
    <w:p>
      <w:r>
        <w:t>am 17. März 2016 ( Eingangsdatum bei der IV-Stelle )</w:t>
      </w:r>
    </w:p>
    <w:p>
      <w:r>
        <w:t>erneut zum Be zug von Leistungen an (Urk. 7/38 ). Die IV-Stelle zog die Akten der AXA Versicherungen AG (AXA, Urk. 7/34 und 37), der Krankentaggeldversicherung (Urk. 7/55) und der beruflichen Vorsorgeein rich tung</w:t>
      </w:r>
    </w:p>
    <w:p>
      <w:r>
        <w:t>von X.___</w:t>
      </w:r>
    </w:p>
    <w:p>
      <w:r>
        <w:t>(Urk. 7/46) sowie des Kantonsspitals Y.___ (Urk. 7/49 und 53) bei und erkundigte sich nach dem Arbeitsverhältnis von X.___ (Urk. 7/50) . Am 14. Juli 2017 wurde X.___ im Auftrag der Vorsorgeeinrichtung begutachtet (Expertise vom 22. September 2017, Urk. 7/83). In der Folge stellte die IV-Stelle m it Vorbescheid vom 1 9. Oktober 2017 X.___ die Zusprechung einer halbe n Invalidenrente in Aussicht (Urk. 7/91). Im Auftrag der Unfallversicherung erfolgte am 5. Februar 2018 eine weitere Begut achtung (Urk. 7/115) . Nach erneutem</w:t>
      </w:r>
    </w:p>
    <w:p>
      <w:r>
        <w:t>Vorbescheidverfahren (Urk. 7/122 , 125 und 129 )</w:t>
      </w:r>
    </w:p>
    <w:p>
      <w:r>
        <w:t>sprach die IV-Stelle X.___</w:t>
      </w:r>
    </w:p>
    <w:p>
      <w:r>
        <w:t>mit Verfügung vom 28. August 2018 (Urk. 2) eine vom 1. November 2016 bis 31. Mai 2018 befristete halbe Rente zu.</w:t>
      </w:r>
    </w:p>
    <w:p>
      <w:r>
        <w:rPr>
          <w:b/>
        </w:rPr>
        <w:t>E. 1.1</w:t>
      </w:r>
    </w:p>
    <w:p>
      <w:r>
        <w:t>Invalidität ist die voraussichtlich bleibende oder längere Zeit dauernde ganze oder teilweise Erwerbsunfähigkeit (Art. 8 Abs. 1 des Bundesgesetzes über den Allge meinen Teil des Sozialversicherungsgerichts,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w:t>
      </w:r>
    </w:p>
    <w:p>
      <w:r>
        <w:t>Dagegen erhob X.___ mit Eingabe vom 28. September 2018 Beschwerde beim hiesigen Sozialversicherungsgericht und beantrag t e, es sei in Abänderung der Verfügung vom 28. August 2018 eine höhere unbefristete Rente zuzusprechen. Even tualiter seien weitere medizinische Abklärungen vorz unehmen (Urk. 1). Die Beschwerdegegnerin schloss in ihrer Beschwerdeantwort vom 30. Oktober 2018 auf Abweisung der Beschwerde (Urk. 6) , was der Beschwerdeführerin mit Verfügung vom 2. November 2018 (Urk. 8) zur Kenntnis gebracht wurde.</w:t>
      </w:r>
    </w:p>
    <w:p>
      <w:r>
        <w:t>Die gegen den Einspracheentscheid der AXA vom 4. Juni 2019 erhobene Be schwerde, welche Gegenstand des Verfahrens UV.2019.00176 bildet, wurde mit Urteil heutigen Datums abgewiesen. Das Gericht zieht in Erwägung: 1.</w:t>
      </w:r>
    </w:p>
    <w:p>
      <w:r>
        <w:rPr>
          <w:b/>
        </w:rPr>
        <w:t>E. 2.1</w:t>
      </w:r>
    </w:p>
    <w:p>
      <w:r>
        <w:t>Die Beschwerdegegnerin erwog im angefochtenen Entscheid, dass die Beschwer deführerin seit 18. November 2015 in ihrer bisherigen Arbeitstätigkeit zu 100</w:t>
      </w:r>
    </w:p>
    <w:p>
      <w:r>
        <w:t>% eingeschränkt sei und ab 1. November 2015 (recte: 2016)</w:t>
      </w:r>
    </w:p>
    <w:p>
      <w:r>
        <w:t>auch eine Einschrän kung der Arbeitsfähigkeit in leidensangepasster Tätigkeit im Umfang von 50 % bestanden habe. Im Februar 2018 habe sich der Gesundheitszustand der Be schwerdeführerin verbessert und gemäss dem vo n der Unfallversicherung in Auf trag gegebenen Gutachten sei ihr eine Arbeitsfähigkeit von 100 % in leidens an gepasster Tätigkeit zumutbar. Deshalb sei eine befristete halbe Rente zuzu spre chen (Urk. 2).</w:t>
      </w:r>
    </w:p>
    <w:p>
      <w:r>
        <w:rPr>
          <w:b/>
        </w:rPr>
        <w:t>E. 2.2</w:t>
      </w:r>
    </w:p>
    <w:p>
      <w:r>
        <w:t>Die Beschwerdeführerin machte demgegenüber geltend, dass auf den Bericht des Vertrauensarztes der Unfallversicherung</w:t>
      </w:r>
    </w:p>
    <w:p>
      <w:r>
        <w:t>nicht abgestellt werden könne: Der Arzt habe ein B elastungsprofil definiert , womit der Beschwerdeführerin eine leidens angepasste Tätigkeit im Umfang von 100</w:t>
      </w:r>
    </w:p>
    <w:p>
      <w:r>
        <w:t>% zumutbar sei. Dieses Belastungsprofil entspreche allerdings demjenigen ihrer angestammten Tätigkeit als Reinigungs fachfrau , welche ihr gemäss dem selben Gutachter nur noch zu 30</w:t>
      </w:r>
    </w:p>
    <w:p>
      <w:r>
        <w:t>% zugemutet werden könne. Der Vertrauensarzt begründe auch nicht, weshalb dieses von ihm definierte Belastungsprofil zumutbar sein soll te . Im Weiteren fehle eine Ausein andersetzung mit dem von der Vorsorgeeinrichtung in Auftrag gegebenen Gut achten, welchem im Übrigen auch der RAD-Arzt gefolgt sei und für nach vollziehbar erachtet habe. Aufgrund der anderslautenden vorangehenden medi zini schen Einschätzungen könne nicht ohne Weiteres auf das Gutachten der Unfall versicherung abgestellt werden , sondern hätten weitere medizinische Ab klä rung en getätigt werden müssen (Urk. 1). 3. 3.1</w:t>
      </w:r>
    </w:p>
    <w:p>
      <w:r>
        <w:t>Dem vertrauensärztlichen Gutachten von Dr. med. Z.___ , FMH für orthopädische Chirurgie, vom 22. September 2017 zu Händen der beruflichen Vor sorgeeinrichtung (Urk. 7/83) können folgende Diagnosen entnommen werden (Urk. 7/83/5): - Massive posttraumatische OSG-Arthrose links bei: - Status nach OSG-Fraktur links ( Malleolarfraktur Typ Weber B-C) vom 17.01.2013 - Status nach partieller OSME distale Tibia und Fibula links vom 7.01.2014 - Status nach Revision mit Schraubenosteosynthese Malleolus</w:t>
      </w:r>
    </w:p>
    <w:p>
      <w:r>
        <w:t>medialis , Plattenosteosynthese Malleolus</w:t>
      </w:r>
    </w:p>
    <w:p>
      <w:r>
        <w:t>lateralis , Refixation</w:t>
      </w:r>
    </w:p>
    <w:p>
      <w:r>
        <w:t>Volkmann’sches Dreieck li nks vom 22.01.2013 - Posttraumatische erhebliche OSG-Instabilität bei Status nach einer Malleolarfraktur Typ Weber B-C mit vorderer Syndesmosen -Lä sion und entsprechender Gabelsprengung - Status nach Schraubenentfernung des Malleolus</w:t>
      </w:r>
    </w:p>
    <w:p>
      <w:r>
        <w:t>medialis und Abtra gung einer störenden Exostose am Fuss li nks vom 10.12.2015 - AMIC Plastik mediale Talusschulter links vom 20.08.2016 - Medialisierende</w:t>
      </w:r>
    </w:p>
    <w:p>
      <w:r>
        <w:t>Calcaneusosteotomie links vom 20.02.2017 Zur Arbeitsfähigkeit führte Dr. Z.___ aus, dass aufgrund des</w:t>
      </w:r>
    </w:p>
    <w:p>
      <w:r>
        <w:t>bisher nicht zufriedenstellenden Er gebnisses bei d er schweren OSG-Verletzung mit überwie gender Wahrscheinlichke it eine erneute, w a hrsch e i nlich definitive Korrektur des OSG vorgenommen werden müsse. Da die Beschwerdeführerin eine weitere Be hand lung benötige, sei es zum heutigen Z e itpunkt zu f rüh ,</w:t>
      </w:r>
    </w:p>
    <w:p>
      <w:r>
        <w:t>Angaben zur def ini tive n Arbeitsfähigkeit zu machen (Urk. 7/83/6). Dr. Z.___ hielt sodann fest, dass die Beschwerdeführerin angesichts der starken Schwellungsneigung , was zu entsprechend starken Schmerzen am Fuss führe, unverändert und zum T eil an Stöcken mobilisiert eine Arbeit in einem Büro oder sitzend an einer Rezeption mit einem Pensum von 50 % bewältigen könn te. Weiter empfahl Dr. Z.___ eine OSG- Arthrodese . N ach 1.5 Jahren könne sodann eine Stellungnahme zur Belastbar keit des Fusses erfolgen. D ie Situation lasse sich in medizinischer Hin sicht mit einem Salvage -Procedere und der Durchführung einer OSG- Arthrodese</w:t>
      </w:r>
    </w:p>
    <w:p>
      <w:r>
        <w:t>mit überwiegender Wahrscheinlichkeit bewältigen (Urk. 7/83/7). Dem Gutachten lässt sich sodann entnehmen, dass die Beschwerdeführer in ihre Schmerzen auf der Schmerzskala mit 8 und unter Belastung mit 9 eingeschätzt habe . Sie habe zudem erzählt , dass sie knapp eine Gehstrecke von 20 Minuten ohne Beschwerde n bewältigen könne und</w:t>
      </w:r>
    </w:p>
    <w:p>
      <w:r>
        <w:t>sich dann hinsetz en müsse (Urk. 7/83/3 f.) . Anlässlich der orthopädischen Untersuchung stellte Dr. Z.___ fest, dass sich das Gangbild mit deutlichem Schonentlastungshinken links gezeigt habe. Der Abrollvorgang links habe sich als deutlich erschwert erwiesen und der Zehen- und Fersengang sei en nur knapp möglich gewesen. Die OSG-Beweglichkeit habe sich links im Vergleich zu rechts als eingeschränkt erwiesen . Auch habe sich links gegenüber rechts ein deutlich geschwollener Aussenknöchel mit einer Umfangs differenz von rund 4</w:t>
      </w:r>
    </w:p>
    <w:p>
      <w:r>
        <w:t>cm präsentiert (Urk. 7/83/3). Die SPECT-Untersuchung habe eine erheblich fortgeschrittene medial betonte Degeneration im OSG mit osteo chondralem Defekt gezeigt und die MRI- und Röntgenbefunde hätten zudem eine Osteopenie mit Verdacht auf eine Osteoporose, eine unverminderte Gabelspren gung und eine osteochondrale Läsion an de r medialen Talusschulter</w:t>
      </w:r>
    </w:p>
    <w:p>
      <w:r>
        <w:t>präsentiert (Urk. 7/83/4). 3.2</w:t>
      </w:r>
    </w:p>
    <w:p>
      <w:r>
        <w:t>Im vertrauensärztlichen Gutachten vom 5. Februar 2018 zu Händen der Unfall versicherung wurden folgende Diagnosen mit Auswirkung auf die Arbeitsfähig keit genannt (Urk. 7/115/7): - Sprunggelenksdistorsion links am 17.01.2013 mit/bei: - trimalleolärer Sprunggelenksfraktur - Status nach osteosynthetischer Versorgung - Status nach Metallentfernung und Abtragung einer Exostose am medi alen Malleolus nach Instabilität bei Gabelsprengung - m assiver posttraumatischer OSG-Arthrose - Status nach AMIC-Plastik mediale Talusschulter und lateraler Band rekonstruktion am 20.08.2016 - Status nach medialisierender</w:t>
      </w:r>
    </w:p>
    <w:p>
      <w:r>
        <w:t>Kalkaneusosteotomie , Débridement</w:t>
      </w:r>
    </w:p>
    <w:p>
      <w:r>
        <w:t>Tibialis</w:t>
      </w:r>
    </w:p>
    <w:p>
      <w:r>
        <w:t>posterior Sehne und Reparatur - persistierenden belastungsabhängigen Beschwerden linkes Sprung ge lenk Dazu führte der Gutachter</w:t>
      </w:r>
    </w:p>
    <w:p>
      <w:r>
        <w:t>Dr. med. A.___ , Facharzt FMH Chirurgie, aus, es bestehe noch eine 30%ige Arbeitsfähigkeit in der angestammten Tätigkeit als Reinigungsfachfrau . I n ein er leidens a n gepassten Tätigkeit liege ab dem Untersu chungstag und unter Beachtung des Belastungsprofils wieder eine vollständige Arbeitsfähigkeit vor . Zum Belastungsprofil hielt Dr. A.___ fest, es seien leichte bis mittelschwere wechselbelastende Tätigkeiten zumutbar, ohne repetitives Ge hen über 50</w:t>
      </w:r>
    </w:p>
    <w:p>
      <w:r>
        <w:t>m, ohne repetitives Treppensteigen, ohne repetitives Gehen auf unebe nem Gelände, ohne das Tragen von Lasten auf unebenem Gelände, ohne das Besteigen von Leitern und Gerüsten und ohne hockende, kniende und kauernde Arbeiten. Zudem seien Arbeiten in Nässe, Kälte und Hitze auszuschliessen (Urk. 7/115/8). Weiter wird im Gutachten festgehalten, dass die Beschwerde füh rerin über ständig vorhandene Schmerzen im Fuss geklagt habe . In Ruhe bestün den geringe Beschwerden, welche sich beim Gehen deutlich verstärkt en. Sie könne</w:t>
      </w:r>
    </w:p>
    <w:p>
      <w:r>
        <w:t>maximal 20 Minuten gehen . Treppensteigen verstärke die Schmerzen nicht, sie müsse aber aufpassen (Urk. 7/115/5 f. und 9 ). B efundmässig stellte Dr. A.___ Folgendes fest: Die Fussstellung zeige eine Ab flachung des Längsgewölbes beidseits und die Quergew ölbe seien im Sinne eines Senk- und Spreizfusses verändert. Die Zehenstellung sei bezüglich des zweiten und dritten Zehs auffällig und es bestehe eine Syndaktylie. Die Hautfarbe im Bereich der unteren Extremitäten sei ohne auffälligen Befund . Lediglich in der Knöchelregion links</w:t>
      </w:r>
    </w:p>
    <w:p>
      <w:r>
        <w:t>hätten sich abgeheilte Narben über dem Innen- und den Aussenknöchel erk ennen lassen . Die Haut im Narbenbereich sei rotbräunlich pigmentiert und die Narben hätten sich als berührungsempfindlich erwiesen . Weiter sei der Blutabfluss ungestört und es hätten sich keine Verfärbung, keine vermehrte Venenzeichnung, keine Varikosis und lediglich vereinzelt Besenreiser varizen gezeigt. Die Fusssohlenbeschwielung sei altersentsprechend normal aus gebildet und es liege keine isolierte Verhornungstendenz vor. Augenfällige Um fangsdifferenzen im Bereich der unteren Extremitäten seien nicht vorhanden gewesen.</w:t>
      </w:r>
    </w:p>
    <w:p>
      <w:r>
        <w:t>D ie Bemuskelung und die Konturen der Muskulatur bei der Ober- und Unterschenkel habe sich seitengleich ausgebildet präsentiert . Der Knöchelumfang sei links um einen Zentimeter grösser als rechts gewesen . Bezüglich der Gelenk konturen sämtlicher Abschnitte beider Extremitäten hätten sich keine wesent lichen Auffälligkeiten und keine Gelenkvergröberungen gezeigt und die Achilles sehnengrub e habe sich seitengleich verstrichen präsentiert . Bei den Funktions un ter suchungen seien die Stand- und Gangvarianten wie Einbeinstand , Zehenstand beziehungsweise –gang und Hackenstand beziehungsweise – gang mit beiden unteren Extremitäten seitengleich mit deutlichen Einschränkungen demonstriert worden. Das Einnehmen der tiefen Hocke sei bis zu einer maximalen Kniegelenks beugung von 90° gezeigt worden. Bei der Untersuchung der Beweglichkeit sämt licher Gelenke beider unteren Extremitäten habe sich kein auffälliger Befund ergeben. Auch die Beweglichkeit in den oberen und unteren Sprunggelenken sei nahezu seitengleich ausgefallen und lediglich bei der dorsalen Extension habe sich links eine Einschränkung von 10° gegenüber der rechten Seite ergeben. Beim Zangengriff über der Malleolengabel und dem</w:t>
      </w:r>
    </w:p>
    <w:p>
      <w:r>
        <w:t>Kalkaneus sowie ventral des OS G habe sich ein Druckschmerz auslösen lassen, welcher sich auch medial und lateral über dem USG-Spalt gezeigt habe. Demgegenüber habe sich über die vordere</w:t>
      </w:r>
    </w:p>
    <w:p>
      <w:r>
        <w:t>Fuss wurzel und über den Metatarsalia kein Druckschmerz feststellen lassen . Weit er sei in keinem Gelenk der unteren Extremitäten ein Gelenkerguss vorhanden ge wesen und die Bandführung der jeweiligen Gelenke, insbesondere be ider Kniege lenke habe sich bezüglich der Kollateralbänder seitengleich gelockert</w:t>
      </w:r>
    </w:p>
    <w:p>
      <w:r>
        <w:t>erwiesen . Der Schubladentest sowie der Lachmann-Test beidseits sei en negativ ausgefallen und es habe auch keine Rotationsinstabilitäten des linken oder rechten Kniege lenkes festgestellt werden können. Es hätten sich auch keine Pivot- Shift -Zeichen beidseits und keine Meniskuszeichen des linken und rechten Kniegelenks nach Steinemann gezeigt. Die orientierende neurologische Untersuchung sei unauf fällig gewesen . Im Bereich des Innen- und Aussenknöchels habe sich links eine deutliche Hyposensibilität gegenüber rechts gezeigt. PSR und ASR hätten seiten gleich schwach ausgelöst werden können ( Urk. 7/115/6 f.). Insgesamt habe sich keine wesentliche Instabilität im OSG und USG gezeigt und die Beweglichkeit im OSG und im USG sei trotz der Arthrose erstaunlich gut gewesen (Urk. 7/115/8). 4. 4.1</w:t>
      </w:r>
    </w:p>
    <w:p>
      <w:r>
        <w:t>Im angefochtenen Entscheid stütz t e sich die Beschwerdegegnerin für die Befris tung der Rente auf das vertrauensärztliche Gutachten vom 5. Februar 2018 zu Händen der Unfallversicherung. Dieses basiert auf fachärztlicher Untersuchung und wurde in Kenntnis und Auseinandersetzung mit den Vorakten – insbesondere dem vertrauensärztliche n Gutach t en von Dr. Z.___ - sowie auch unter Berück sichtigung der gek l a gten Beschwerden erstatte t . Dr. A.___</w:t>
      </w:r>
    </w:p>
    <w:p>
      <w:r>
        <w:t>legte die medizini schen Zustände und Zusammenhänge einleuchtend dar und begründete seine Schlussfolgerung nachvollziehbar . Das vertrauensärztliche Gutachten von Dr. A.___ erfüllt demnach alle rechtsprechungsgemässen Kriterien für eine be weis taugliche medizinische Entscheidungsgrundlage, weshalb diesem grundsätz lich voller Beweiswert zukommt (vgl . E. 1.3).</w:t>
      </w:r>
    </w:p>
    <w:p>
      <w:r>
        <w:t>4.2</w:t>
      </w:r>
    </w:p>
    <w:p>
      <w:r>
        <w:t>Die Beschwerdeführerin machte mehrere Einwände geltend, weshalb vorliegend nicht auf das Gutachten von Dr. A.___ abgestellt werden könne. Auf ihre dies bezüglichen Vorbringen ist vorab einzugehen. 4.2 .1</w:t>
      </w:r>
    </w:p>
    <w:p>
      <w:r>
        <w:t>Zunächst wies die Beschwerdeführerin auf folgenden angeblichen Widerspruch hin: Dr. A.___ habe festgestellt, dass der Beschwerdeführerin nur noch eine 30%ige Arbeitsfähigkeit in der angestammten Tätigkeit als Reinigungsfachfrau zumutbar sei. In einer leidensangepassten Tätigkeit sei ihr demgegenüber unter Beachtung des Belastungsprofils eine 100%ige Arbeitsfähigkeit zuzumuten. Dabei entspreche das von Dr. A.___ definierte Belastungsprofil, unter dessen Beach tung eine 100%ige Arbeitsfä higkeit zumutbar sei, dem Profil ihrer angestammten Tätigkeit (Urk. 1 S. 4) .</w:t>
      </w:r>
    </w:p>
    <w:p>
      <w:r>
        <w:t>Dr. A.___ definierte ein Belastungsprofil, wonach der Beschwerdeführerin leichte bis mittelschwere wechselbelastende Tätigkeiten zumutbar seien (vgl. E. 3.2). Wie die Beschwerdegegnerin in ihrer Verfügung vom 28. August 2018 zu Recht aus führte, entspricht das Belastungsprofil einer Reinigungsfachfrau einer fast aus schliesslich stehenden Tätigkeit, wobei die Beschwer deführerin stets in Bewegung war (vgl. Urk. 7/50/3) , und nicht einer wechselbelastenden Tätigkeit (Urk. 2). Es handelt sich somit nicht um identische Belastungsprofile.</w:t>
      </w:r>
    </w:p>
    <w:p>
      <w:r>
        <w:t>Entgegen der Ansicht der Beschwerdeführerin trifft es auch nicht zu, dass Dr. A.___ bei der Definition des Belastungsprofils unbegründet zu einer anderen Schlussfolgerung als Dr. Z.___ gekommen ist. Dr. Z.___ vertrat die Ansicht, dass aufgrund der starken Schwellungsneigung und der damit verbundenen Schmerzen bloss eine sitzende Tätigkeit zumutbar sei (vgl. E. 3.1). Demgegenüber zeigte sich anlässlich der Untersuchung durch Dr. A.___ keine solche starke Schwellu ngsneigung und er konnte auch keine wesentliche Instabilität der OSG und USG mehr feststellen (E. 3.2). Die von Dr. A.___ an diese Entwicklung der medizinischen Umstände angepasste Definition des Belastungsprofils ist nach voll ziehbar und steht damit auch nicht im Widerspruch zur Schlussfolgerung von Dr. Z.___ . 4.2.2</w:t>
      </w:r>
    </w:p>
    <w:p>
      <w:r>
        <w:t>Weiter führte die Beschwerdeführerin aus, dass die Untersuchungen von Dr. Z.___ und von Dr. A.___ zeitlich nah aufeinander erfolgt seien und da der RAD-Ar zt die Einschätzung von Dr. Z.___ als nachvollziehbar erachtet habe, könne die Beschwerdegegnerin nicht ohne Weiteres auf das Gutachten von Dr. A.___ abstellen.</w:t>
      </w:r>
    </w:p>
    <w:p>
      <w:r>
        <w:t>In der versicherungsmedizinisc hen Beurteilung vom 5. März 2018 wies Dr. med. B.___ , Facharzt für Orthopädische Chirurgie und Traumatologie darauf hin , dass die Untersuchung durch Dr. A.___</w:t>
      </w:r>
    </w:p>
    <w:p>
      <w:r>
        <w:t>rund ein Jahr nach der Operation am Gelenk stattgefunden habe. Die Begutachtung durch Dr. Z.___</w:t>
      </w:r>
    </w:p>
    <w:p>
      <w:r>
        <w:t>sei hinge gen bereits fünf Monate nac h d ieser Operation erfolgt . A nlässlich der Begut achtung durch Dr. Z.___</w:t>
      </w:r>
    </w:p>
    <w:p>
      <w:r>
        <w:t>habe sich noch eine erhebliche Schwellung der linken Sprunggelenksregion feststellen lassen , während sich bei der Untersuchung durch Dr. A.___ nur noch eine geringe Umfangsdifferenz gezeigt habe . Dies sei bei ansonsten weitestgehend gleichem Befund in den beiden Gutachten aus orthopä discher Sicht als Zeichen eines abgeklungenen Reizzustands des Gelenkes bei unveränderter po sttraumatischer Arthrose zu wert en. Dies sei zudem überwiegend wahrscheinlich die medizintheoretische Erklärung für die unterschiedliche Bewer tung der Arbeitsfähigkeit. Dr. B.___</w:t>
      </w:r>
    </w:p>
    <w:p>
      <w:r>
        <w:t>hielt sodann fest, dass der aktuellste klinische Befund gegenüber einer älteren Untersuchung im Falle einer Differenz der Beur teilung en</w:t>
      </w:r>
    </w:p>
    <w:p>
      <w:r>
        <w:t>ausschlaggebend sei (Urk. 7/128/2). In der Stellungnahme v om 2. Mai 2018 führte Dr. B.___</w:t>
      </w:r>
    </w:p>
    <w:p>
      <w:r>
        <w:t>aus , dass die Einschätzung von Dr. Z.___ , wonach eine angepasste vorwiegend sitzende Tätigkeit halbtags möglich sei, zum damaligen Zeitpunkt nachvollziehbar gewesen sei, da der letzte und ziemlich umfangreiche operative Eingriff auch erst fünf Monate zurückgelegen habe. Die eingeschränkte Wegefähigkeit und Ausdauer bei einer sitzenden Tätigkeit sei plausibel gewesen, da zwangsläufig bei rechtwinkliger Beugung der Kniegelen k e eine erhöhte Schwellungsneigung der Unterschenkel und Füsse resultierte, was sich auch ein drücklich anhand des klinischen Befund s von Dr. Z.___</w:t>
      </w:r>
    </w:p>
    <w:p>
      <w:r>
        <w:t>gezeigt habe . Zum Gutachten von Dr. A.___ hielt Dr. B.___ fest, dass dieses sieben Monate später und damit rund ein Jahr nach der Operation erstellt worden sei. I m Rahmen der Untersuchung von Dr. A.___ habe nur noch eine geringe Umfangsdifferenz von einem Zentimeter in der Knöchelregion festgestellt werden können . Damit l asse sich auch die zu diesem Z e itpunkt d e utlich verbesse rte Einschätzung der Arbeits fähigkeit in eine r angepasste n</w:t>
      </w:r>
    </w:p>
    <w:p>
      <w:r>
        <w:t>Tätigkeit begründen (Urk. 7/128/3).</w:t>
      </w:r>
    </w:p>
    <w:p>
      <w:r>
        <w:t>Weiter ist festzuhalten, dass Dr. Z.___</w:t>
      </w:r>
    </w:p>
    <w:p>
      <w:r>
        <w:t>noch eine erhebliche OSG-Instabilität diagnostiziert und eine eingeschränkte OSG-Beweglichkeit links im Vergleich zu rechts festgestellt hatte (vgl. E.</w:t>
      </w:r>
    </w:p>
    <w:p>
      <w:r>
        <w:t>3.1). Anlässlich der Begutachtung durch Dr. A.___ zeigten sich die Funktionsuntersuchungen mit beiden Extremitäten seitengleich eingeschränkt und die Beweglichkeit präsentierte sich in den oberen und unteren Sprunggelenken ebenfalls nahezu seitengleich. Die Bemuskelung und Konturen der Muskulatur beid er Ober- und Unterschenkel war ebenfalls seitengleich aus gebildet und im OSG und USG konnte keine wesentliche Instabilität mehr fest gestellt werden (vgl. E. 3.2) . Damit ist eine Verbesserung des Gesundheitszustands der Beschwerdeführerin zu erkennen . Hinzu kommt, dass Dr. Z.___</w:t>
      </w:r>
    </w:p>
    <w:p>
      <w:r>
        <w:t>aus drück lich festgehalten hatte , dass es zu früh sei , eine definitive Angabe zur Arbeits fähigkeit zu machen, da die Beschwerdeführerin noch eine weitere Behandlung benötige (vgl. E. 3.1 ). Eine Verbesserung des Gesundheitszustands der Beschwer de führerin und eine damit einhergehende erhöhte Arbeitsfä higkeit hat te damit auch Dr. Z.___ nicht ausgeschlossen. Nach dem Gesagten ist daher nicht zu beanstanden, dass sich die Beschwer de gegnerin für die Feststellung des Gesundheitszustandes der Beschwerdeführerin ab Februar/März 2018 auf die Beurteilung durch Dr. A.___ stützte, zumal diese ärztliche Einschätzung zeitlich eher den Gesundheitszustand der Beschwerde füh rerin zu m Verfügungszeitpunkt widerspiegelt . An dieser Ausgangslage vermag auch der Einwand der Beschwerdeführerin, wonach die Schwellung am Knöchel von der Tageszeit abhängig sei und diese Dr. A.___ aufgrund des Zeitpunkts der Untersuchung nicht habe feststellen können , nichts zu ändern , zumal die Be schwer deführerin erklärte, es bestehe kein Unterschied zur Tageszeit was die Intensität der Schmerzen betreffe ( Urk. 7/115/5). Wie vorstehend dargelegt, zeigten</w:t>
      </w:r>
    </w:p>
    <w:p>
      <w:r>
        <w:t>sich die objektiven Befunde im Vergleich zur gesundheitlichen Situation, wie sie sich noch Dr. Z.___ präsentiert hatte, verbessert. Es kommt hinzu, dass die Be schwerdeführerin anlässlich der Untersuchung durch Dr. A.___ davon berich tete, längeres Stehen und Gehen würde Beschwerden verursachen, während sie angab, in Ruhe bestünden geringe Schmerzen, die Gehzeit betrage 20 Minuten. Sodann ergibt sich aus dem Bericht von Dr. A.___ , dass Treppensteigen die Schmerzen der Beschwerdeführerin nicht verstärke ( Urk. 7/115/5 f.). In Berück sich tigung all dieser Gegebenheiten empfahl Dr. A.___ das Ausüben einer wechsel belastenden Tätigkeit, was überzeugt. 4.2.3</w:t>
      </w:r>
    </w:p>
    <w:p>
      <w:r>
        <w:t>Soweit die Beschwerdeführerin rügt, Dr. A.___ verfüge nur über eine Fach aus bildung als Chirurg und nicht über eine solche als Orthopäde, wes halb seinen Aussagen mangels Fachkompetenz nicht dieselbe Aussagekraft wie denjenigen von Dr. Z.___ zukomme, vermag sie ebenso wenig durchzu dring en. Weshalb Dr. A.___ als Chirurg nicht in der Lage sein sollte, die Situation am linken, operierten Fuss kompetent zu beurteilen, ist nicht ersichtlich, zumal ent gegen der Einschätzung der Beschwerdeführerin keine divergierenden Beurtei lungen vorliegen. Vielmehr präsentierte sich anlässlich der Untersuchung durch Dr. A.___ ein anderer medizinischer Sachverhalt als noch zu m Zeitpunkt der Begut achtung durch</w:t>
      </w:r>
    </w:p>
    <w:p>
      <w:r>
        <w:t>Dr. Z.___ . 4 .3</w:t>
      </w:r>
    </w:p>
    <w:p>
      <w:r>
        <w:t>Zusammenfassend erweisen sich die von der Beschwerdeführerin gegenüber der</w:t>
      </w:r>
    </w:p>
    <w:p>
      <w:r>
        <w:t>vertrauensärztlichen Be urteilung durch Dr. A.___ erhobenen Einwände als nicht stichhaltig. Vielmehr sind die praxisgemässen Kriterien für eine beweiskräftige Entscheidungsgrundlage erfüllt ( vorstehend E. 4.1 ) , weshalb darauf abzustellen ist . Im Übrigen erweist sich der medizinische Sachverhalt als erstell t , weshalb auch keine weiteren diesbezüglichen Abklärungen vorzunehmen sind.</w:t>
      </w:r>
    </w:p>
    <w:p>
      <w:r>
        <w:t>Nach dem Gesagten ist der Beschwerdeführerin ab Februar 2018 eine leidens angepasste Tätigkeit unter Einhaltung des Belastungsprofils zu 100</w:t>
      </w:r>
    </w:p>
    <w:p>
      <w:r>
        <w:t>% zumutbar . 5. 5.1</w:t>
      </w:r>
    </w:p>
    <w:p>
      <w:r>
        <w:t>Zu prüfen bleiben die Auswirkungen in erwerblicher Hinsicht. 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5.1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t>5.1 .3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 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 Bundesgesetz über die Invalidenversicherung, 3. Auflage 2014, Rn 55 und 89 zu Art. 28a, mit weiteren Hinweisen auf die Rechtsprechung). 5.1 .4</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 lichem erwerblichem Erfolg verwerten. Der Abzug soll aber nicht auto matisch erfolgen. Er ist unter Würdigung der Umstände im Einzelfall nach pflicht gemässem Ermessen gesamthaft zu schätzen und darf 25 % nicht übersteigen (vgl. BGE 135 V 297 E. 5.2, 134 V 322 E. 5.2 und 126 V 75 E. 5b/ aa -cc). Die Rechtsprechung gewährt insbesondere dann einen Abzug auf dem Invaliden 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 5.2</w:t>
      </w:r>
    </w:p>
    <w:p>
      <w:r>
        <w:t>5.2 .1</w:t>
      </w:r>
    </w:p>
    <w:p>
      <w:r>
        <w:t>Die Beschwerdeführerin war zuletzt als Mitarbeiterin Hauswirtschaft tätig , wo sie gemäss Arbeitgeberfragebogen ein jährliches Einkommen von Fr. 59'525. -- erziel te (Urk. 7/50/5). Da keine Angaben über die mutmassliche Lohnentwicklung vor liegen, wird ohne nähere Prüfung der Berechtigung davon ausgegangen, dass der Lohn der Beschwerdeführerin an die branchenspezifische Nominallohnent wick lung angepasst word en wäre, womit für das Jahr 2016 ein</w:t>
      </w:r>
    </w:p>
    <w:p>
      <w:r>
        <w:t>Validenein kom men von Fr. 60’459 .-- resultiert (Fr. 59’525.-- / 102.0 x 103.6 , vgl. die Tabelle T1.2.10 [Nominallohnindex, Frauen 2011-2018] Branche ö ffentliche Verwaltung 84 von 102.0 [2013 ] auf 103.6 [2016 ] bei einem Index 2010=100 ) . 5.2 .2</w:t>
      </w:r>
    </w:p>
    <w:p>
      <w:r>
        <w:t>Mangels eines tatsächlich erzielten Verdienstes sind zur Ermittlung des Invalide n einkommens praxisgemäss (E. 5.2 .3) die LSE-Tabellenlöhne heranzuziehen. Mit Blick auf die der Beschwerdeführerin offenstehenden Einsatzmöglichkeiten ist auf den Zentralwert aller Wirtschaftszweige («Total») von Frauen auf dem Kompe tenzniveau 1 gemäss Tabelle TA1 der LSE 2016 abzustellen, welcher bei einer Arbeitszeit von 40 Wochenstunden monatlich Fr. 4’363. -- betrug. Unter Berück sichtigung der betriebsüblichen wöchentlichen Arbeitszeit von 41.7 Stunden im Jahr 2016 (vgl. BFS, Tabelle T 03.02.03.01.04.01 Betriebsübliche Arbeitszeit nach Wirtschaftsabteilungen, Ziff. 1-96 Total) resultiert für das Jahr 2016 ein I nvali den einkommen von Fr. 54 ’ 580 .-- ( Fr. 4’363 .-- x 12 / 40 x 41.7) bei einem Voll zeitp ensum. 5.2 .3</w:t>
      </w:r>
    </w:p>
    <w:p>
      <w:r>
        <w:t>Hinsichtlich der Berechnung des Invaliditätsgrades machte die Beschwerde füh rerin einzig geltend, dass bei der Berechn ung des Invalideneinkommens ein leidensbedingter Abzug von mindestens 20 % vorzunehmen sei.</w:t>
      </w:r>
    </w:p>
    <w:p>
      <w:r>
        <w:t>Mangelnde Sprach kennt nisse oder ungenügende Ausbildung sind nicht abzugsrelevant, da diesen Aspekten bei der Wahl des Kompetenzniveaus Rechnung zu tragen ist (vgl. Urteil des Bundesgerichts 8C_549/2019 vom 26. November 2019 E. 7.7).</w:t>
      </w:r>
    </w:p>
    <w:p>
      <w:r>
        <w:t>Auch das Alter der Beschwerdeführerin vermag keinen Abzug zu begründen, werden doch Hilfsarbeiten auf dem massgebenden ausgeglichenen Stellenmarkt altersunab hängig nachgefragt ( Urteile des Bundesgerichts 8C_327/2018, vom 31. August 2018, E. 4.4.2 und 8C_403/2017 vom 2 5. August 2017 E. 4.4.1 ). Weiter ist zu beachten, dass die Bedeutung der Dienstjahre im privaten Sektor abnimmt, je niedriger das Anforderungsprofil ist (BGE 126 V 75 E. 5a/cc). Dem Aspekt der Dienstjahre kommt deshalb vorliegend auch keine relevante Bedeutung zu. So weit die Beschwerdeführerin darüber hinaus die Unmöglichkeit, weiterhin im bisherigen Beruf tätig zu sein, als Abzugsgrund anführt ( Urk. 1 S. 9), ist darauf hinzuweisen, dass der Tabellenlohn im Kompetenzniveau 1 bereits eine Vielzahl von leichten und mittelschweren Tätigkeiten umfasst (Urteil des Bundesgerichts 9C_447/2019), weshalb sich ein Abzug mit Blick auf diese Gegebenheit nicht rechtfertigt. Schliesslich fällt auch der Umstand, dass die Stellensuche altersbe dingt erschwert sein mag, als invaliditätsfremder Faktor regelmässig ausser Betracht (Urteil des Bundesgerichts 8C_219/2019 vom 30. September 2019 E. 5.3; vgl. auch Urteil 8C_312/2017 vom 22. November 2017 E. 3.3.2).</w:t>
      </w:r>
    </w:p>
    <w:p>
      <w:r>
        <w:t>Zusammenfassend ist nicht zu beanstanden, dass die Beschwerdegegnerin keinen Abzug bei der Berechnung des Invalideneinkommens vorgenommen hat. 5.3</w:t>
      </w:r>
    </w:p>
    <w:p>
      <w:r>
        <w:t>Gestützt auf die medizinische Aktenlage ging die Beschwerdegegnerin ab Novem ber 2015 von einer 50%igen Arbeitsfähigkeit in leidensangepasster Tätigkeit aus (vgl. Urk. 11/89/9). Diese Einschränkung der Arbeitsf ähigkeit bestätigte Dr. Z.___ in seinem Gutachten vom 22. September 201 7. Die Befunde von Dr. A.___ im Februar 2018 wiesen sodann eine Verbesserung des Gesund heits zust andes der Beschwerdeführerin aus . Dementsprechend ging die Beschwerde gegnerin von einer 50%igen Arbeitsfähigkeit in leidensangepasster Tätigkeit ab 1. November 2016 ( Art. 28 Abs. 1 und Art. 29 Abs. 1 IVG; E. 3.1, 3.2; vgl. auch Urk. 7/89)</w:t>
      </w:r>
    </w:p>
    <w:p>
      <w:r>
        <w:t>bis zum 31. Mai 2018 (Zeitpunkt der Verbesserung plus 3 Monate, Art. 88a Abs. 1 IVV ) aus. Dies führt zu ei nem Invaliditätsgrad von rund 55 %</w:t>
      </w:r>
    </w:p>
    <w:p>
      <w:r>
        <w:t>( Valideneinkommen 2016 : Fr. 60’459 .-- ; Invalideneinkommen 2016 : Fr. 27'290 .-- [ Fr. 54'580. --</w:t>
      </w:r>
    </w:p>
    <w:p>
      <w:r>
        <w:t>: 2 ]; zur Rundung BGE 130 V 121 E. 3.2) beziehungsweise ab Juni 2018 unter Berücksichtigung einer Arbeitsfähigkeit von 100 % zu einem renten ausschliessenden Invaliditätsgrad von rund 10 %. Damit erweist sich die Zusprache einer vom 1. November 2016 bis Ende Mai 2018 befristeten halben Rente als rechtens.</w:t>
      </w:r>
    </w:p>
    <w:p>
      <w:r>
        <w:t>Dies führt zur Abweisung der Beschwerde. 6.</w:t>
      </w:r>
    </w:p>
    <w:p>
      <w:r>
        <w:t>Die Kosten des Verfahrens sind auf Fr. 800.-- (Art. 69 Abs. 1 bis IVG) und aus gangsgemäss der Beschwerdeführerin aufzuerlegen. Das Gericht erkennt :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VogelPeter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