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IV.2018.00821 vom 11. Dezember 2018</w:t>
      </w:r>
    </w:p>
    <w:p>
      <w:r>
        <w:t>ZH Sozialversicherungsgericht, 2018-12-11, DE</w:t>
      </w:r>
    </w:p>
    <w:p>
      <w:r>
        <w:rPr>
          <w:b/>
        </w:rPr>
        <w:t xml:space="preserve">Quelle: </w:t>
      </w:r>
      <w:r>
        <w:t>https://mcp.opencaselaw.ch/entscheid/zh_sozialversicherungsgericht_IV.2018.00821</w:t>
      </w:r>
    </w:p>
    <w:p>
      <w:r>
        <w:t>FR: ZH_SOZIALVERSICHERUNGSGERICHT IV.2018.00821 du 11 décembre 2018</w:t>
      </w:r>
    </w:p>
    <w:p>
      <w:r>
        <w:t>IT: ZH_SOZIALVERSICHERUNGSGERICHT IV.2018.00821 del 11 dicembre 2018</w:t>
      </w:r>
    </w:p>
    <w:p>
      <w:pPr>
        <w:pStyle w:val="Heading2"/>
      </w:pPr>
      <w:r>
        <w:t>Erwägungen</w:t>
      </w:r>
    </w:p>
    <w:p>
      <w:r>
        <w:rPr>
          <w:b/>
        </w:rPr>
        <w:t>E.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 aufwand und unab hän gig vom Streitwert im Rahmen von Fr. 200.-- bis Fr. 1'000.-- festge legt .</w:t>
      </w:r>
    </w:p>
    <w:p>
      <w:r>
        <w:t>Die Kosten des Verfahrens sind auf Fr. 800.-- festzusetzen. Bei teilweiser Gut heissung der Beschwerde sind sie ausgangsgemäss zu drei Vierteln dem Beschwerdeführer und zu einem Viertel der Beschwerdegegnerin aufzuerlegen. Das Gericht erkennt: 1.</w:t>
      </w:r>
    </w:p>
    <w:p>
      <w:r>
        <w:t>In teilweiser Gutheissung der Beschwerde gegen die Verfügung der Sozialver siche rungsanstalt des Kantons Zürich, IV-Stelle, vom 27. August 2018 wird festgestellt, dass der Beschwerdeführer für die Monate Dezember 2013, Januar und Februar 2014 Anspruch auf eine ganze Rente der Invalidenversicherung hat. Im Übrigen ( Zusprache einer höheren als einer halben Rente und auch für den Zeitraum vor März 2017) wird die Beschwerde abgewiesen. 2.</w:t>
      </w:r>
    </w:p>
    <w:p>
      <w:r>
        <w:t>Die Gerichtskosten von Fr. 800 .-- werden dem Beschwerdeführer zu drei Vierteln (Fr. 600.--) sowie der Beschwerdegegnerin zu einem Viertel (Fr. 200.--) auferlegt.</w:t>
      </w:r>
    </w:p>
    <w:p>
      <w:r>
        <w:t>Rechnung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