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IV.2018.00536 vom 20. September 2018</w:t>
      </w:r>
    </w:p>
    <w:p>
      <w:r>
        <w:t>ZH Sozialversicherungsgericht, 2018-09-20, DE</w:t>
      </w:r>
    </w:p>
    <w:p>
      <w:r>
        <w:rPr>
          <w:b/>
        </w:rPr>
        <w:t xml:space="preserve">Quelle: </w:t>
      </w:r>
      <w:r>
        <w:t>https://mcp.opencaselaw.ch/entscheid/zh_sozialversicherungsgericht_IV.2018.00536</w:t>
      </w:r>
    </w:p>
    <w:p>
      <w:r>
        <w:t>FR: ZH_SOZIALVERSICHERUNGSGERICHT IV.2018.00536 du 20 septembre 2018</w:t>
      </w:r>
    </w:p>
    <w:p>
      <w:r>
        <w:t>IT: ZH_SOZIALVERSICHERUNGSGERICHT IV.2018.00536 del 20 settembre 2018</w:t>
      </w:r>
    </w:p>
    <w:p>
      <w:pPr>
        <w:pStyle w:val="Heading2"/>
      </w:pPr>
      <w:r>
        <w:t>Erwägungen</w:t>
      </w:r>
    </w:p>
    <w:p>
      <w:r>
        <w:rPr>
          <w:b/>
        </w:rPr>
        <w:t>E. 1</w:t>
      </w:r>
    </w:p>
    <w:p>
      <w:r>
        <w:t>S. 2). Mit Eingabe vom 3. Juli 2018 ( Urk. 7) reichte der Beschwerdeführer einen Bericht des Universitätsspitals B.___ , Augenklinik, vom 2 4. April 2018 zu den Akten ( Urk. 8). Mit Beschwerdeantwort vom 1 6. August 2018 beantragte die Be schwerdegegnerin Abweisung der Beschwerde ( Urk. 11) , was dem Beschwerde führer mit Verfügung vom 2 0. August 2018 zur Kenntnis gebracht wurde ( Urk. 13).</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 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 2.1</w:t>
      </w:r>
    </w:p>
    <w:p>
      <w:r>
        <w:t>Die Beschwerdegegnerin erwog in der angefochtenen Verfügung, nach dem Un fallereignis vom 1 0. Juni 2015 sei der Beschwerdeführer in seiner Arbeitsfähigkeit eingeschränkt gewesen. Die Augenklinik habe jedoch ausdrücklich festgehalten, dass seit dem 3 0. Januar 2016 in angepassten Tätigkeiten wieder eine volle Arbeitsfähigkeit bestehe. Eine Erwerbseinbusse erleide der Beschwerdeführe r hierdurch nicht . Es bestehe damit weder Anspruch auf Rentenleistungen noch auf berufliche Massnahmen ( Urk. 2). 2.2</w:t>
      </w:r>
    </w:p>
    <w:p>
      <w:r>
        <w:t>Der Beschwerdeführer brachte dagegen vor, aus dem Bericht vom 8. Januar 2018 ergebe sich, dass er wegen seiner Augenverletzung pro Tag lediglich noch zwei bis drei Stunden arbeitsfähig sei. Angesichts dessen, dass er auf einem Auge blind sei, habe die Beschwerdegegnerin das Invalideneinkommen zu hoch bemessen. Er könne w egen seiner Behinderung nicht mehr das gleiche Einkommen erzielen wie ein gesunder Arbeitnehmer, weshalb sich ein Leidensabzug von 25 % rechtfertige. Es resultiere ein Invaliditätsgrad von deutlich über 70 % . Ob die verbleibende Arbeitsfähigkeit überhaupt verwertbar wäre, habe die Beschwerdegegnerin in Verletzung der Abklärungspflicht nicht abgeklärt und insbesondere zu dieser Frage kein Gutachten eingeholt</w:t>
      </w:r>
    </w:p>
    <w:p>
      <w:r>
        <w:t>( Urk. 1) . 3.</w:t>
      </w:r>
    </w:p>
    <w:p>
      <w:r>
        <w:rPr>
          <w:b/>
        </w:rPr>
        <w:t>E. 3</w:t>
      </w:r>
    </w:p>
    <w:p>
      <w:r>
        <w:t>Auf die Ausführungen der Parteien und die eingereichten Unterlagen wird, soweit erforderlich, in den nachfolgenden Erwägungen eingegangen . Das Gericht zieht in Erwägung: 1.</w:t>
      </w:r>
    </w:p>
    <w:p>
      <w:r>
        <w:rPr>
          <w:b/>
        </w:rPr>
        <w:t>E. 3.1</w:t>
      </w:r>
    </w:p>
    <w:p>
      <w:r>
        <w:t>Dem Bericht des B.___ , Augenklinik, vom</w:t>
      </w:r>
    </w:p>
    <w:p>
      <w:r>
        <w:t>1. November 2017 zu Händen der Be schwerdegegnerin ( Urk. 12/11 = Urk. 12/13 ) kann folgende Diagnose entnommen werden ( Urk. 12/11/1): - Status nach penetrierender Bulbus -V erletzung mit ausgeprägter Horn haut- und Skleraverletzung am 9. Juni 2015 mit/bei: - Status nach Wundinspektion, Primärversorgung mit Sklera- und Horn h autdraht, Lidkantennaht Unterlid temporal ( Dr. C.___ , B.___ ) am 10 . Jun i 2015 - Status nach 23G - ppV, Endolaser , Retinektomie , Endodiathermie , Sili konöl , Z e iss 5000CS am 1 9. Juni 2015 ( Dr. D.___ , B.___ ) bei totaler Amotio , PVR 3, Aphakie , partielle Aniridie - Status nach 23G - ppV, Silikonölentfernung, SF6 25 % am 8. Januar 2016 ( Dr. D.___ ) - Stat u s post</w:t>
      </w:r>
    </w:p>
    <w:p>
      <w:r>
        <w:t>transskleraler Laser- Zyklophotokoagulation ( ts -CPC) bei Druckdekompensation (2 1. Juli 2017, Dr. E.___ ) - aktuell: erneute Druckdekompensation, Erstdiagnose 2 1. August 2017</w:t>
      </w:r>
    </w:p>
    <w:p>
      <w:r>
        <w:t>Im Bericht wurde sodann festgehalten, in der letzten Untersuchung (13. Oktober 2017) habe sich das rechte Auge mit einem Visus von Handbewegungen in 1m Entfernung gezeigt. Der Bulbus sei deutlich prominent, die Lider geschwollen, das Auge tränend. Die Bindehaut sei injiziert, die Hornhaut deutlich eingetrübt und es zeigten sich ausgeprägte Narbenbildungen in den vorderen Augenabschnitten. Als We r beverteiler bestehe keine Arbeitsunfähigkeit. Der Beschwerdeführer sei bis am 2 3. Januar 2016 arbeitsunfähig gewesen. Der Beschwerdeführer sei auf dem rechten Auge visuell deutlich eingeschränkt, ansonsten bestünden k eine Ein schränkungen. Er verfüg e über eine verminderte Sehschärfe auf dem rechten Auge, wobei der Visus im linke n Auge 100 % sei, er habe ein vermindertes bino kulares Gesichtsfeld. Es sei nicht nötig, eine behinderungsangepasste Tätig keit auszuüben. Ab dem 3 0. Januar 2016 könne der Beschwerdeführer eine beruf liche Tätigkeit wieder zu 100 % aufnehmen ( Urk. 12/11/2). 3. 2</w:t>
      </w:r>
    </w:p>
    <w:p>
      <w:r>
        <w:t>Dem Bericht von Dr. F.___ , FMH Allgemeine Innere Medizin, vom 8. Januar 2018 zu Händen der Beschwerdegegnerin ( Urk. 12/14) ist zu entneh men, der Status nach penetrierter Bulbus-Verletzung vom 9. Januar 2015 habe einen Visusverlust des rechten Auges und eine praktisch 100%ige Arbeitsun fähigkeit seit dem Unfall bewirkt . Es seien keine Arbeiten mehr möglich , welche über zwei Stunden täglich hinausgingen ( Urk. 12/14/1-2). Die bisherige Tätigkeit sei wegen des Auftretens von Schmerzen in Hitze, Kälte oder Dampf nicht mehr und eine angepasste T ä tigkeit sei im Umfang von zwei Stunden, möglicherweise auch drei Stunden pro Tag , zumutbar ( Urk. 12/14/3).</w:t>
      </w:r>
    </w:p>
    <w:p>
      <w:r>
        <w:rPr>
          <w:b/>
        </w:rPr>
        <w:t>E. 3.2</w:t>
      </w:r>
    </w:p>
    <w:p>
      <w:r>
        <w:t>mit Hinweisen). Diese Voraussetzungen erfüllen die beim Beschwerdeführer noch verbliebenen, medizinisch begründeten Einschränkungen nicht – er ist mit Ausnahme von Arbeiten in dampfreichen Umgebungen vollständig arbeitsfähig . Insbesondere bringt er nicht vor, eine Sehhilfe zu benötigen, er klagt hauptsäch lich über Schmerzen nach penetrierender Bulbus-Verletzung , weshalb auch ein Anspruch auf Arbeitsvermittlung entfällt.</w:t>
      </w:r>
    </w:p>
    <w:p>
      <w:r>
        <w:t>Damit hat die Beschwerdegegnerin zu Recht den Anspruch auf berufliche Mass nahmen abgewiesen.</w:t>
      </w:r>
    </w:p>
    <w:p>
      <w:r>
        <w:rPr>
          <w:b/>
        </w:rPr>
        <w:t>E. 3.3</w:t>
      </w:r>
    </w:p>
    <w:p>
      <w:r>
        <w:t>Im beschwerdeweise aufgelegten Bericht des B.___ , Augenklinik, vom 2 4. April 2018 zu Händen des Beschwerdeführers ( Urk. 8) wurde festgehalten, der Be schwerdeführer habe angegeben, Dämpfe in der Küche würden die Schmerz symptomatik verschlechtern. Dies klinge glaubhaft. Als weitere Option bezüglich der Behandlung der Augenschmerzen und somit auch eines Wiedereinstieges in die Arbeit gebe es die operative Bindehautabdeckung der Hornhaut zur sympto matischen Schmerzbekämpfung oder aber das Einsetzen einer Verbands-Kontakt-Linse und Wechsel derselben alle drei bis vier Wochen. E s bestehe keine Indi kation zur Verlängerung oder Neu-Ausstellung einer Arbeitsunfähigkeit bezieh ungsweise einer arbeitsplatzbezogenen Arbeitsunfähigkeit, sofern die Schmerzen gut kontrolliert würden. Alternativ wäre eine Arbeit an einem Ort mit geringer Belastung durch Küchendämpfe wahrscheinlich bereits jetzt uneingeschränkt möglich ( Urk.</w:t>
      </w:r>
    </w:p>
    <w:p>
      <w:r>
        <w:rPr>
          <w:b/>
        </w:rPr>
        <w:t>E. 6</w:t>
      </w:r>
    </w:p>
    <w:p>
      <w:r>
        <w:t>ATSG) gewesen sind; und c.</w:t>
      </w:r>
    </w:p>
    <w:p>
      <w:r>
        <w:t>nach Ablauf dieses Jahres zu mindestens 40 % invalid ( Art.</w:t>
      </w:r>
    </w:p>
    <w:p>
      <w:r>
        <w:rPr>
          <w:b/>
        </w:rPr>
        <w:t>E. 8</w:t>
      </w:r>
    </w:p>
    <w:p>
      <w:r>
        <w:t>.4</w:t>
      </w:r>
    </w:p>
    <w:p>
      <w:r>
        <w:t>Gemäss Art. 69 Abs. 1 bis</w:t>
      </w:r>
    </w:p>
    <w:p>
      <w:r>
        <w:t>IVG ist das Beschwerdeverfahren bei Streitigkeiten um die Bewilligung oder die Verweigerung von IV-Leistungen abweichend von Art. 61 lit . a ATSG vor dem kantonalen Versicherungsgericht kostenpflichtig. Die Kosten werden nach dem Verfahrensaufwand und unabhängig vom Streitwert im Rahmen von Fr. 200. -- bis Fr. 1'000. -- festgelegt. Entsprechend dem Ausgang des Verfahrens sind die Gerichtskosten in Höhe von Fr. 6 00. -- dem Beschwerdeführer aufzuerle gen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