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IV.2018.00519 vom 1. November 2019</w:t>
      </w:r>
    </w:p>
    <w:p>
      <w:r>
        <w:t>ZH Sozialversicherungsgericht, 2019-11-01, DE</w:t>
      </w:r>
    </w:p>
    <w:p>
      <w:r>
        <w:rPr>
          <w:b/>
        </w:rPr>
        <w:t xml:space="preserve">Quelle: </w:t>
      </w:r>
      <w:r>
        <w:t>https://mcp.opencaselaw.ch/entscheid/zh_sozialversicherungsgericht_IV.2018.00519</w:t>
      </w:r>
    </w:p>
    <w:p>
      <w:r>
        <w:t>FR: ZH_SOZIALVERSICHERUNGSGERICHT IV.2018.00519 du 1 novembre 2019</w:t>
      </w:r>
    </w:p>
    <w:p>
      <w:r>
        <w:t>IT: ZH_SOZIALVERSICHERUNGSGERICHT IV.2018.00519 del 1 novembre 2019</w:t>
      </w:r>
    </w:p>
    <w:p>
      <w:pPr>
        <w:pStyle w:val="Heading2"/>
      </w:pPr>
      <w:r>
        <w:t>Erwägungen</w:t>
      </w:r>
    </w:p>
    <w:p>
      <w:r>
        <w:rPr>
          <w:b/>
        </w:rPr>
        <w:t>E. 1</w:t>
      </w:r>
    </w:p>
    <w:p>
      <w:r>
        <w:t>2. August 2017 [Urk. 9/34] sowie Konsensbeurteilung vom 2 1. August 2017 [ Urk. 9/35] ). Nach interner Abklärung durch den Region alen Ärztlichen Dienst (RAD; vgl. Feststellungsblatt, Urk. 9/36) wies die IV-Stelle die Versicherte mit Schreiben vom 2. November 2017 auf ihre Mitwirkungspflichten und insbesondere auf die Durchführung von Behandlungen und Massnahmen zur Erhaltung oder Verbesserung des Gesundheitszustandes hin (Urk. 9/37) . Nach durchgeführtem Vorbescheidverfahren (Vor be scheid vom 2. November 2017 [Urk. 9/3 8 ], Einwand vom 3 0. November 2017 [ Urk. 9/40] so wie ergänzend vom 1 3. Januar 2018 [ Urk. 9/45]) verneinte die IV-Stelle mit Ver fügung vom 3 0. April 2018 einen Leistungsanspruch , da kein versicherter Ge sundheitsschaden</w:t>
      </w:r>
    </w:p>
    <w:p>
      <w:r>
        <w:t>ausgewiesen sei (Urk. 9/48 = Urk. 2).</w:t>
      </w:r>
    </w:p>
    <w:p>
      <w:r>
        <w:rPr>
          <w:b/>
        </w:rPr>
        <w:t>E. 2</w:t>
      </w:r>
    </w:p>
    <w:p>
      <w:r>
        <w:t>Hiergegen erhob die Versicherte mit Eingabe vom 3 1. Mai 2018 beim Versiche rungsgericht des Kantons Aargau Beschwerde ( Urk. 1). Dieses leitete die Eingabe mit Schreiben vom 1. Juni 2018 (Urk. 5) an das hiesige Gericht weiter. Die Be schwerdeführerin beantragte in ihrer Beschwerde ( Urk. 1), die Beschwerde gegne rin sei zu verpflichten , ihr ab Oktober 2016 eine ganze Invalidenrente auszu rich ten. Eventuell sei die Sache zur Durchführung eines Mahn- und Bedenk zeit ver fahrens an die Beschwerdegegnerin zurückzuweisen. In prozessualer Hinsicht be antrag t e sie, es sei ihr die unentgeltliche Rechtspflege sowie die unentgeltliche Rechtsverbeiständung zu gewähren.</w:t>
      </w:r>
    </w:p>
    <w:p>
      <w:r>
        <w:t>Die Beschwerdegegnerin schloss mit Beschwerdeantwort vom 1 0. Juli 2018 (Urk. 8) auf Abweisung der Beschwerde. Mit Verfügung vom 1 8. Juli 2018 wurde der Beschwerdeführerin die Beschwerdeantwort zugestellt (Urk. 10).</w:t>
      </w:r>
    </w:p>
    <w:p>
      <w:r>
        <w:rPr>
          <w:b/>
        </w:rPr>
        <w:t>E. 2.3.1</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 Als Ausdruck der allgemeinen Schadenmin derungspflicht geht die Pflicht, die notwendigen Schritte zur Selbsteingliederung zu unternehmen, nicht nur dem Renten-, sondern auch dem gesetzlichen Einglie derungsanspruch vor (Urteil des Bundesgerichts 9C_356/2014 vom 14. November 2014 E. 3.1 mit Hinweisen auf Urteile I 116/03 vom 10. November 2003 E. 3.1 und I 145/01 vom 12. September 2001 E. 2b).</w:t>
      </w:r>
    </w:p>
    <w:p>
      <w:r>
        <w:rPr>
          <w:b/>
        </w:rPr>
        <w:t>E. 2.3.2</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 tungen vorübergehend oder dauernd gekürzt oder verweigert werden. Sie muss vorher schriftlich gemahnt und auf die Rechtsfolgen hingewiesen werden; ihr ist eine angemessene Bedenkzeit einzuräumen. Behandlungs- oder Eingliederungs massnahmen, die eine Gefahr für Leben und Gesundheit darstellen, sind nicht zumutbar ( Art. 21 Abs. 4 ATSG).</w:t>
      </w:r>
    </w:p>
    <w:p>
      <w:r>
        <w:t>Das Mahn- und Bedenkzeitverfahren ist im Bereich der Invalidenversicherung zwingend (vgl. jedoch E. 2.3.4) . Der versic herten Person ist unter substant iierter Bezugnahme auf das von ihr geforderte Verhalten schriftlich mitzuteilen, welche Folgen ihre Wider setzlichkeit nach sich ziehen kann, und sie ist aufzufordern, ihrer Schaden minderungspflicht nachzukom men (Kieser, ATSG-Kommentar, 3. Auf lage 2015, Art. 21 N 133-136).</w:t>
      </w:r>
    </w:p>
    <w:p>
      <w:r>
        <w:rPr>
          <w:b/>
        </w:rPr>
        <w:t>E. 2.3.3</w:t>
      </w:r>
    </w:p>
    <w:p>
      <w:r>
        <w:t>Für die Beantwortung der Frage nach der Zumutbarkeit der Behandlung oder Einglie derungsmassnahme im Sinne von Art. 21 Abs. 4 ATSG kann auf die zu Art. 31 Abs. 1 IVG in der bis 3</w:t>
      </w:r>
    </w:p>
    <w:p>
      <w:r>
        <w:rPr>
          <w:b/>
        </w:rPr>
        <w:t>E. 3</w:t>
      </w:r>
    </w:p>
    <w:p>
      <w:r>
        <w:t>IVV) und endet erst mit der Rechtskraft des ent sprech en den Entscheides (vgl. Urteil des ehemaligen Eidgenössischen Versicherungs ge richts v om 2 2. Januar 2004, I 232/03, E . 3.1.3), auch wenn die versicherte Person im Laufe des Verwaltungsverfahrens ihren Wohnsitz in einen ander e n Kanton wechselt. Im Zeitpunkt der Anmeldung (März 2016) hatte die Beschwerdeführerin ihren Wohn ort in Z.___ im Kanton Zürich (Urk. 9/6), weshalb die IV-Stelle des Kantons Zürich verfügte.</w:t>
      </w:r>
    </w:p>
    <w:p>
      <w:r>
        <w:t>Diesfalls ist in Abweichung von Art. 58 Abs. 1 des Bundesgesetz es über den All gemeinen Teil des Sozialversicherungsrechts (ATSG) gestützt auf Art 69 Abs. 1 lit . a IVG nicht das Gericht am Wohnort, sondern dasjenige am Ort der verfügen den IV-Stelle zuständig. Vorliegend ist entsprechend das Sozialversicherungs ge rich t des Kantons Zürich zuständig. 2. 2 .1</w:t>
      </w:r>
    </w:p>
    <w:p>
      <w:r>
        <w:t>Invalidität ist die voraussichtlich bleibende oder längere Zeit dauernde ganze oder teilweise Erwerbsunfähigkeit (Art. 8 Abs. 1</w:t>
      </w:r>
    </w:p>
    <w:p>
      <w:r>
        <w:t>ATSG ). Sie kann Folge von Geburts gebrechen, Krankheit oder Unfall sein (Art. 4 Abs. 1 IVG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 .2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