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IV.2018.00422 vom 16. September 2009</w:t>
      </w:r>
    </w:p>
    <w:p>
      <w:r>
        <w:t>ZH Sozialversicherungsgericht, 2009-09-16, DE</w:t>
      </w:r>
    </w:p>
    <w:p>
      <w:r>
        <w:rPr>
          <w:b/>
        </w:rPr>
        <w:t xml:space="preserve">Quelle: </w:t>
      </w:r>
      <w:r>
        <w:t>https://mcp.opencaselaw.ch/entscheid/zh_sozialversicherungsgericht_IV.2018.00422</w:t>
      </w:r>
    </w:p>
    <w:p>
      <w:r>
        <w:t>FR: ZH_SOZIALVERSICHERUNGSGERICHT IV.2018.00422 du 16 septembre 2009</w:t>
      </w:r>
    </w:p>
    <w:p>
      <w:r>
        <w:t>IT: ZH_SOZIALVERSICHERUNGSGERICHT IV.2018.00422 del 16 settembre 2009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herabgesetzt oder aufgehoben ( Art.</w:t>
      </w:r>
    </w:p>
    <w:p>
      <w:r>
        <w:rPr>
          <w:b/>
        </w:rPr>
        <w:t>E. 6</w:t>
      </w:r>
    </w:p>
    <w:p>
      <w:r>
        <w:t>/68). Nach durchgeführtem Vorbescheidverfahren (Urk. 6/84, Urk. 6/89) verfügte die IV-Stelle am 24. Mai 2013 die Ausrichtung einer Viertels rente ab 1. September 2008 (Urk. 6/109 ). Die dagegen am 26. Juni 2013 unter Beilage weiterer Arztbe richte erhobene Beschwerde</w:t>
      </w:r>
    </w:p>
    <w:p>
      <w:r>
        <w:t>(Urk. 6/ 124) hiess das hiesige Gericht mit Urteil IV.2013.00598 vom 3 1. Dezember 2013 gut und stellte fest , dass die Versicherte ab 1. September 2008 Anspruch auf eine halbe Rente der Invalidenversicherung ha be (Urk. 6/ 133) . Dieser Entscheid erwuchs unangefoch ten in Rechtskraft.</w:t>
      </w:r>
    </w:p>
    <w:p>
      <w:r>
        <w:rPr>
          <w:b/>
        </w:rPr>
        <w:t>E. 6.1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festgesetzt. Vorlie gend erweist sich eine Kostenpauschale von Fr. 800.-- als angemessen. Ausgangsgemäss sind die Kosten der Beschwerdegegnerin aufzuerlegen.</w:t>
      </w:r>
    </w:p>
    <w:p>
      <w:r>
        <w:rPr>
          <w:b/>
        </w:rPr>
        <w:t>E. 6.2</w:t>
      </w:r>
    </w:p>
    <w:p>
      <w:r>
        <w:t>Ausgangsgemäss hat d i e vertretene Beschwerdeführer in gestützt auf Art. 61 lit . g ATSG Anspruch auf eine Prozessentschädigung. Diese ist gemäss § 34 Abs. 1 und 3 des Gesetzes über das Sozialversicherungsgericht ( GSVGer ) unter Berücksichti gung der Bedeutung der Streitsache und der Schwierigkeit des Prozesses festzusetzen. Unter Berücksichtigung der genannten Aspekte erweist sich eine Entschä digung von Fr. 2 ’ 2 00.-- als angemessen (inkl. Mehrwertsteuer und Bar auslagen). Das Gericht erkennt: 1.</w:t>
      </w:r>
    </w:p>
    <w:p>
      <w:r>
        <w:t>In Gutheissung der Beschwerde wird die Verfügung der Sozialversicherungsanstalt des Kantons Zürich, IV-Stelle, vom 2 9. März 2018 aufgehoben und es wird festge stellt, dass die Beschwerdeführerin weiterhin Anspruch auf die bisherige halbe Invalidenr 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2’200 .-- (inkl. Barauslagen und MWSt ) zu bezahlen. 4.</w:t>
      </w:r>
    </w:p>
    <w:p>
      <w:r>
        <w:t>Zustellung gegen Empfangsschein an: - Rechtsanwalt Peter Bolzli unter Beilage einer Kopie von Urk.</w:t>
      </w:r>
    </w:p>
    <w:p>
      <w:r>
        <w:rPr>
          <w:b/>
        </w:rPr>
        <w:t>E. 9</w:t>
      </w:r>
    </w:p>
    <w:p>
      <w:r>
        <w:t>S. 3). Mit Eingabe vom 2 5. Oktober 2018 verzichtete die Beschwerdegegnerin auf das Ein reichen einer Duplik (Urk. 11 ), was der Beschwerdeführerin am 2 9. Oktober 2018 zur Kenntnis gebracht wurde (Urk. 1 2 ).</w:t>
      </w:r>
    </w:p>
    <w:p>
      <w:r>
        <w:t>Mit Eingabe vom 2 2. Juli 2019 machte die Beschwerdeführerin unter Beilage von zwei Arztberichten eine Verschlechte rung ihres psychischen Gesundheitszustands geltend ( Urk.</w:t>
      </w:r>
    </w:p>
    <w:p>
      <w:r>
        <w:rPr>
          <w:b/>
        </w:rPr>
        <w:t>E. 13</w:t>
      </w:r>
    </w:p>
    <w:p>
      <w:r>
        <w:t>und Urk. 14/1-2). Die Beschwerdegegnerin verzichtete am 21. August 2019 auf eine Stellungnahme dazu ( Urk. 16), was der Beschwerdeführerin am 2 2. August 2019 mitgeteilt wurde ( Urk. 17). Mit Gerichtsverfügung vom 20. Februar 2020 wurde die HOTELA Vorsorgestiftung zum Prozess beigeladen ( Urk. 18). Diese verzichtete am 1 3. März 2020 auf das Einreichen einer Stellungnahme und merkte an, dass sie für die gesundheitlichen Beeinträchtigungen nicht zuständig sei , nachdem die Beschwer deführerin seit dem 1 6. März 2010 nicht mehr im Betrieb Y.___ in C.___ angestellt sei ( Urk. 19).</w:t>
      </w:r>
    </w:p>
    <w:p>
      <w:r>
        <w:t>Auf die Ausführungen der Parteien und die eingereichten Unterlagen wird, so weit erforderlich, in den nachfolgenden Erwägungen eingegangen. Das Gericht zieht in Erwägung: 1.</w:t>
      </w:r>
    </w:p>
    <w:p>
      <w:r>
        <w:rPr>
          <w:b/>
        </w:rPr>
        <w:t>E. 17</w:t>
      </w:r>
    </w:p>
    <w:p>
      <w:r>
        <w:t>ATSG ausser Betracht, so bleibt zu prüfen, ob einer der Rückkommenstitel nach Art. 53 ATSG die strittige Rentenaufhebung zu rechtfertigen vermag, wobei für das Vorliegen einer erheblichen neuen Tatsache nach Art. 53 Abs. 1 ATSG jegliche Anhalts punkte fehlen. Von einer zweifellosen Unrichtigkeit der Rentenzusprechung im Sinne der Rückkommensvoraussetzung der Wiedererwägung nach Art. 53 Abs. 2 ATSG kann von vornherein nicht ausgegangen werden, da dazumal eine materielle richterliche Beurteilung erfolgt war ( BGE 110 V 176 E. 2a, E. 1 mit Hin wei sen , Urteil des Sozialversicherungsgerichts des Kantons Zürich IV.2015.00418 vom 30. Oktober 2015 E. 5 ) . Somit rechtfertigt sich keine Neuevaluation des Einkommensvergleichs (vgl. Urk. 5 S. 2 f.).</w:t>
      </w:r>
    </w:p>
    <w:p>
      <w:r>
        <w:t>Entsprechend hält die Rentenaufhebung der gerichtli chen Überprüfung nicht stand und die angefochtene Verfügung ist in Gutheissung der Beschwerde aufzu heben. 5.</w:t>
      </w:r>
    </w:p>
    <w:p>
      <w:r>
        <w:t>Nach ständiger Rechtsprechung beurteilt das Sozialversicherungsgericht die Gesetzmässigkeit des angefochtenen Entscheids in der Regel nach dem Sachver halt, der zur Zeit des Abschlusses des Verwaltungsverfahrens gegeben war. Tatsachen, die jenen Sachverhalt seither verändert haben, sollen Gegenstand einer neuen Verwaltungsverfügung sein (BGE 131 V 242 E. 2.1, 121 V 362 E. 1b).</w:t>
      </w:r>
    </w:p>
    <w:p>
      <w:r>
        <w:t>Infolge dessen ist nicht näher auf die für das Jahr 2019 geltend gemachte gesund heitliche Verschlechterung aus psychiatrischer Sicht (vgl. Urk. 1 3 und Urk. 14/1-2) einzugehen. 6 .</w:t>
      </w:r>
    </w:p>
    <w:p>
      <w:r>
        <w:rPr>
          <w:b/>
        </w:rPr>
        <w:t>E. 19</w:t>
      </w:r>
    </w:p>
    <w:p>
      <w:r>
        <w:t>- Bundesamt für Sozialversicherungen - HOTELA Vorsorgestiftung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