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IV.2018.00348 vom 5. Juni 2019</w:t>
      </w:r>
    </w:p>
    <w:p>
      <w:r>
        <w:t>ZH Sozialversicherungsgericht, 2019-06-05, DE</w:t>
      </w:r>
    </w:p>
    <w:p>
      <w:r>
        <w:rPr>
          <w:b/>
        </w:rPr>
        <w:t xml:space="preserve">Quelle: </w:t>
      </w:r>
      <w:r>
        <w:t>https://mcp.opencaselaw.ch/entscheid/zh_sozialversicherungsgericht_IV.2018.00348</w:t>
      </w:r>
    </w:p>
    <w:p>
      <w:r>
        <w:t>FR: ZH_SOZIALVERSICHERUNGSGERICHT IV.2018.00348 du 5 juin 2019</w:t>
      </w:r>
    </w:p>
    <w:p>
      <w:r>
        <w:t>IT: ZH_SOZIALVERSICHERUNGSGERICHT IV.2018.00348 del 5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rentenberechtigte Mutter der 1995 geborenen X.___ bezog für diese bis am 30. November 2015 eine Kinderrente. Nach Erreichen der Volljährigkeit im Oktober 2013 wurde die Kinderrente X.___ direkt ausbezahlt. Im Rah men eines Revisionsverfahrens stellte die IV-S telle fest, dass die Mutter von X.___</w:t>
      </w:r>
    </w:p>
    <w:p>
      <w:r>
        <w:t>in den Jahren 2012 bis 2015 ein deutlich höheres Einkommen erzielt hatte als der Berechnung des Invaliditätsgrades zugrunde lag . In der Folge wurde deren Rente mit Verfügung vom 1. Februar 2018 rückwirkend herabgesetzt respektive aufgehoben ,</w:t>
      </w:r>
    </w:p>
    <w:p>
      <w:r>
        <w:t>und sie wurde mit Verfügungen vom 1 4. und 1 5. Februar 2018 zur Rückerstattung der zu viel bezogenen Rentenbetreffnisse verpflichtet. Mit gleichentags erlassenen Verfügungen verpflichtete die IV-Stelle X.___</w:t>
      </w:r>
    </w:p>
    <w:p>
      <w:r>
        <w:t>ebenfalls zur Rückerstattung der ihr</w:t>
      </w:r>
    </w:p>
    <w:p>
      <w:r>
        <w:t>in der Zeit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